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DD3A2" w14:textId="5EC408B3" w:rsidR="002364D7" w:rsidRPr="0087291D" w:rsidRDefault="00452960" w:rsidP="00D41378">
      <w:pPr>
        <w:autoSpaceDE w:val="0"/>
        <w:autoSpaceDN w:val="0"/>
        <w:adjustRightInd w:val="0"/>
        <w:spacing w:after="0"/>
        <w:jc w:val="right"/>
        <w:rPr>
          <w:rFonts w:ascii="Cambria" w:eastAsia="Calibri" w:hAnsi="Cambria" w:cs="Arial"/>
          <w:b/>
          <w:bCs/>
          <w:sz w:val="24"/>
          <w:szCs w:val="24"/>
          <w:lang w:val="ro-RO" w:eastAsia="en-US"/>
        </w:rPr>
      </w:pPr>
      <w:r w:rsidRPr="0087291D">
        <w:rPr>
          <w:rFonts w:ascii="Cambria" w:eastAsia="Calibri" w:hAnsi="Cambria" w:cs="Arial"/>
          <w:b/>
          <w:bCs/>
          <w:sz w:val="24"/>
          <w:szCs w:val="24"/>
          <w:lang w:val="ro-RO" w:eastAsia="en-US"/>
        </w:rPr>
        <w:t xml:space="preserve">Anexa nr. </w:t>
      </w:r>
      <w:r w:rsidR="00050FC1" w:rsidRPr="0087291D">
        <w:rPr>
          <w:rFonts w:ascii="Cambria" w:eastAsia="Calibri" w:hAnsi="Cambria" w:cs="Arial"/>
          <w:b/>
          <w:bCs/>
          <w:sz w:val="24"/>
          <w:szCs w:val="24"/>
          <w:lang w:val="ro-RO" w:eastAsia="en-US"/>
        </w:rPr>
        <w:t>3</w:t>
      </w:r>
    </w:p>
    <w:p w14:paraId="384CE86F" w14:textId="77777777" w:rsidR="00D41378" w:rsidRPr="0087291D" w:rsidRDefault="00D41378" w:rsidP="00D41378">
      <w:pPr>
        <w:autoSpaceDE w:val="0"/>
        <w:autoSpaceDN w:val="0"/>
        <w:adjustRightInd w:val="0"/>
        <w:spacing w:after="0"/>
        <w:jc w:val="right"/>
        <w:rPr>
          <w:rFonts w:ascii="Cambria" w:eastAsia="Calibri" w:hAnsi="Cambria" w:cs="Arial"/>
          <w:b/>
          <w:bCs/>
          <w:sz w:val="24"/>
          <w:szCs w:val="24"/>
          <w:lang w:val="ro-RO" w:eastAsia="en-US"/>
        </w:rPr>
      </w:pPr>
    </w:p>
    <w:p w14:paraId="797DCA74" w14:textId="77777777" w:rsidR="00D41378" w:rsidRPr="0087291D" w:rsidRDefault="00D41378" w:rsidP="00D41378">
      <w:pPr>
        <w:autoSpaceDE w:val="0"/>
        <w:autoSpaceDN w:val="0"/>
        <w:adjustRightInd w:val="0"/>
        <w:spacing w:after="0"/>
        <w:jc w:val="right"/>
        <w:rPr>
          <w:rFonts w:ascii="Cambria" w:eastAsia="Calibri" w:hAnsi="Cambria" w:cs="Arial"/>
          <w:b/>
          <w:bCs/>
          <w:sz w:val="24"/>
          <w:szCs w:val="24"/>
          <w:lang w:val="ro-RO" w:eastAsia="en-US"/>
        </w:rPr>
      </w:pPr>
    </w:p>
    <w:p w14:paraId="69CCC610" w14:textId="77777777" w:rsidR="00D41378" w:rsidRPr="0087291D" w:rsidRDefault="00D41378" w:rsidP="00D41378">
      <w:p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Fişa măsurii: Sprijinirea formelor asociative din sectoarele agricole prioritare din teritoriul GAL „Câmpia Burnazului” – Codul măsurii – M4/2A</w:t>
      </w:r>
    </w:p>
    <w:p w14:paraId="6FD752D0"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b/>
          <w:bCs/>
          <w:sz w:val="24"/>
          <w:szCs w:val="24"/>
          <w:lang w:val="ro-RO" w:eastAsia="en-US"/>
        </w:rPr>
        <w:t>Tipul măsurii:</w:t>
      </w:r>
      <w:r w:rsidRPr="0087291D">
        <w:rPr>
          <w:rFonts w:ascii="Cambria" w:eastAsia="Calibri" w:hAnsi="Cambria" w:cs="Trebuchet MS"/>
          <w:sz w:val="24"/>
          <w:szCs w:val="24"/>
          <w:lang w:val="ro-RO" w:eastAsia="en-US"/>
        </w:rPr>
        <w:t xml:space="preserve"> </w:t>
      </w:r>
      <w:r w:rsidRPr="0087291D">
        <w:rPr>
          <w:rFonts w:ascii="Segoe UI Symbol" w:eastAsia="Calibri" w:hAnsi="Segoe UI Symbol" w:cs="Segoe UI Symbol"/>
          <w:sz w:val="24"/>
          <w:szCs w:val="24"/>
          <w:lang w:val="ro-RO" w:eastAsia="en-US"/>
        </w:rPr>
        <w:t>☒</w:t>
      </w:r>
      <w:r w:rsidRPr="0087291D">
        <w:rPr>
          <w:rFonts w:ascii="Cambria" w:eastAsia="Calibri" w:hAnsi="Cambria" w:cs="Trebuchet MS"/>
          <w:sz w:val="24"/>
          <w:szCs w:val="24"/>
          <w:lang w:val="ro-RO" w:eastAsia="en-US"/>
        </w:rPr>
        <w:t xml:space="preserve"> INVESTIȚII </w:t>
      </w:r>
    </w:p>
    <w:p w14:paraId="3290F132" w14:textId="77777777" w:rsidR="00D41378" w:rsidRPr="0087291D" w:rsidRDefault="00D41378" w:rsidP="00D41378">
      <w:pPr>
        <w:autoSpaceDE w:val="0"/>
        <w:autoSpaceDN w:val="0"/>
        <w:adjustRightInd w:val="0"/>
        <w:spacing w:after="0"/>
        <w:ind w:left="705" w:firstLine="705"/>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    </w:t>
      </w:r>
      <w:r w:rsidRPr="0087291D">
        <w:rPr>
          <w:rFonts w:ascii="Segoe UI Symbol" w:eastAsia="Calibri" w:hAnsi="Segoe UI Symbol" w:cs="Segoe UI Symbol"/>
          <w:sz w:val="24"/>
          <w:szCs w:val="24"/>
          <w:lang w:val="ro-RO" w:eastAsia="en-US"/>
        </w:rPr>
        <w:t>☐</w:t>
      </w:r>
      <w:r w:rsidRPr="0087291D">
        <w:rPr>
          <w:rFonts w:ascii="Cambria" w:eastAsia="Calibri" w:hAnsi="Cambria" w:cs="Trebuchet MS"/>
          <w:sz w:val="24"/>
          <w:szCs w:val="24"/>
          <w:lang w:val="ro-RO" w:eastAsia="en-US"/>
        </w:rPr>
        <w:t xml:space="preserve"> SERVICII </w:t>
      </w:r>
    </w:p>
    <w:p w14:paraId="7D81D9E9"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 </w:t>
      </w:r>
      <w:r w:rsidRPr="0087291D">
        <w:rPr>
          <w:rFonts w:ascii="Cambria" w:eastAsia="Calibri" w:hAnsi="Cambria" w:cs="Trebuchet MS"/>
          <w:sz w:val="24"/>
          <w:szCs w:val="24"/>
          <w:lang w:val="ro-RO" w:eastAsia="en-US"/>
        </w:rPr>
        <w:tab/>
      </w:r>
      <w:r w:rsidRPr="0087291D">
        <w:rPr>
          <w:rFonts w:ascii="Cambria" w:eastAsia="Calibri" w:hAnsi="Cambria" w:cs="Trebuchet MS"/>
          <w:sz w:val="24"/>
          <w:szCs w:val="24"/>
          <w:lang w:val="ro-RO" w:eastAsia="en-US"/>
        </w:rPr>
        <w:tab/>
        <w:t xml:space="preserve">   </w:t>
      </w:r>
      <w:r w:rsidRPr="0087291D">
        <w:rPr>
          <w:rFonts w:ascii="Segoe UI Symbol" w:eastAsia="Calibri" w:hAnsi="Segoe UI Symbol" w:cs="Segoe UI Symbol"/>
          <w:sz w:val="24"/>
          <w:szCs w:val="24"/>
          <w:lang w:val="ro-RO" w:eastAsia="en-US"/>
        </w:rPr>
        <w:t>☐</w:t>
      </w:r>
      <w:r w:rsidRPr="0087291D">
        <w:rPr>
          <w:rFonts w:ascii="Cambria" w:eastAsia="Calibri" w:hAnsi="Cambria" w:cs="Trebuchet MS"/>
          <w:sz w:val="24"/>
          <w:szCs w:val="24"/>
          <w:lang w:val="ro-RO" w:eastAsia="en-US"/>
        </w:rPr>
        <w:t xml:space="preserve"> SPRIJIN FORFETAR</w:t>
      </w:r>
    </w:p>
    <w:p w14:paraId="7991BC2C"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p>
    <w:p w14:paraId="66ECDFFD"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Descrierea generală a măsurii, inclusiv a logicii de intervenție a acesteia și a contribuției la prioritățile strategiei, la domeniile de intervenție, la obiectivele transversale și a complementarității cu alte măsuri din SDL</w:t>
      </w:r>
    </w:p>
    <w:p w14:paraId="2859DE6E"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Justificare şi corelare cu analiza SWOT</w:t>
      </w:r>
    </w:p>
    <w:p w14:paraId="1AB6DC8F"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Îmbunătăţirea competitivităţii sectorului agro-alimentar este strâns legată de o mai bună integrare a lanţului valoric, atât pe verticală, cât şi pe orizontală. Creşterea viabilităţii economice a fermelor se poate realiza şi prin încurajarea creşterii valorii adăugate la nivel de fermă, inclusiv prin lanţuri scurte agro-alimentare sau vânzare directă.</w:t>
      </w:r>
    </w:p>
    <w:p w14:paraId="74380F12"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În zona GAL „Câmpia Burnazului”, conform analizei efectuate, rezultă că în teritoriul format din cele 20 de comune, agricultura reprezintă una din activităţile economice principale. Producţia vegetală este orientată cu precădere spre cultura cerealelor pentru boabe, a plantelor uleioase şi a plantelor de nutreţ. Producţiile obţinute an de an la grâu, orz, porumb, soia, floarea soarelui, plasează teritoriul analizat în categoria celor mai mari zone producătoare. De asemenea, teritoriul regiunii asigură factori propice creşterii animalelor, rasele preferate pentru o creştere intensivă fiind ovine, bovine, caprine, porcine. În ceea ce priveşte acest sector, se poate afirma că efectivele de animale au scăzut an de an, la toate speciile. </w:t>
      </w:r>
    </w:p>
    <w:p w14:paraId="25A71D6D"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Formarea formelor asociative poate rezolva o problemă structurală a agriculturii din teritoriul GAL, identificată prin analiza SWOT: nivelul foarte mare de fragmentare al exploataţiilor (la nivelul teritoriului GAL, exista 20.522 exploataţii agricole, iar suprafaţa agricolă utilizată ce revine în medie pe o exploataţie agricolă este de 4,73 hectare), cu o pondere foarte mare a fermelor mici (fermele mici, sub 10 hectare, reprezintă 97</w:t>
      </w:r>
      <w:r w:rsidRPr="0087291D">
        <w:rPr>
          <w:rFonts w:ascii="Cambria" w:eastAsia="Calibri" w:hAnsi="Cambria" w:cs="Calibri"/>
          <w:sz w:val="24"/>
          <w:szCs w:val="24"/>
          <w:lang w:val="ro-RO" w:eastAsia="en-US"/>
        </w:rPr>
        <w:t>,</w:t>
      </w:r>
      <w:r w:rsidRPr="0087291D">
        <w:rPr>
          <w:rFonts w:ascii="Cambria" w:eastAsia="Calibri" w:hAnsi="Cambria" w:cs="Trebuchet MS"/>
          <w:sz w:val="24"/>
          <w:szCs w:val="24"/>
          <w:lang w:val="ro-RO" w:eastAsia="en-US"/>
        </w:rPr>
        <w:t>79% din numărul total de ferme; segmentul de ferme medii, între 10 şi 100 de hectare, are o pondere de  doar 1,59% ca număr). Asocierea va ajuta la abordarea dezavantajelor legate de nivelul foarte mare de fragmentare din sectorul agricol, cu o pondere foarte mare a fermelor mici și va promova entităţile care colaborează pentru identificarea unor soluţii noi și economiile de scară.</w:t>
      </w:r>
    </w:p>
    <w:p w14:paraId="1720AA0E"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La nivelul teritoriului GAL „Câmpia Burnazului” se observă interesul scăzut al producătorilor agricoli fată de formele asociative. Acest fapt este determinat şi de factori cum ar fi: caracterul insuficient al echipamentelor tehnice, nivelul inadecvat de formare profesională al fermierilor şi procesatorilor, lipsa unor programe de formare profesională pentru calificarea în domeniul agricol, migrare în special a tinerilor şi a persoanelor cu studii din cauza lipsei de oportunităţi şi acces la servicii de calitate, </w:t>
      </w:r>
      <w:r w:rsidRPr="0087291D">
        <w:rPr>
          <w:rFonts w:ascii="Cambria" w:eastAsia="Calibri" w:hAnsi="Cambria" w:cs="Trebuchet MS"/>
          <w:sz w:val="24"/>
          <w:szCs w:val="24"/>
          <w:lang w:val="ro-RO" w:eastAsia="en-US"/>
        </w:rPr>
        <w:lastRenderedPageBreak/>
        <w:t>infrastructură locală subdezvoltată şi acces limitat la finanţare, care limitează activitatea economică, neîncrederea populaţiei în a se organiza în forme asociative precum şi capacitate financiară relativ scăzută a locuitorilor zonei. În zona GAL, 1% dintre fermieri sunt membri ai unei asociații (față de peste 50% media UE şi peste 90% în statele cele mai dezvoltate).</w:t>
      </w:r>
    </w:p>
    <w:p w14:paraId="5B288B30" w14:textId="77777777" w:rsidR="00D41378" w:rsidRPr="0087291D" w:rsidRDefault="00D41378" w:rsidP="00D41378">
      <w:pPr>
        <w:tabs>
          <w:tab w:val="left" w:pos="285"/>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Crearea şi dezvoltarea unui sistem de colectare şi depozitare a materiilor prime agricole promovat în principal, de formele asociative devine o necesitate tot mai stringentă în teritoriul GAL „Câmpia Burnazului”. Producătorii îşi vând produsele la preţuri scăzute deoarece nu au posibilitatea de a le prelucra şi depozita. Dezvoltarea unor spaţii de depozitare, uscare şi o promovare comună a produselor care să deservească grupuri de producători din mai multe localităţi limitrofe constituie o oportunitate deosebită pentru zona GAL „Câmpia Burnazului”. În contextul în care asocierea poate constituit o pârghie în procesul de transformare a fermelor de semi-subzistentă în ferme familiale comerciale, această măsură este extrem de importantă. </w:t>
      </w:r>
    </w:p>
    <w:p w14:paraId="3D70A1CE" w14:textId="77777777" w:rsidR="00D41378" w:rsidRPr="0087291D" w:rsidRDefault="00D41378" w:rsidP="00D41378">
      <w:pPr>
        <w:tabs>
          <w:tab w:val="left" w:pos="285"/>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Accesarea acestei măsuri prin asocierea producătorilor individuali va creea condiţiile propice pentru creşterea producţiei de alimente de calitate, o integrare mai bună pe piaţă şi modernizarea sectorului în general. La nivel orizontal, înfiinţarea şi sprijinirea grupurilor de producători va contribui la o mai bună integrare a fermierilor în lanţul valoric şi în piaţă. Această măsură va contribui la dezvoltarea infrastructurii pentru funcționarea eficientă a pieței de desfacere a produselor agricole și agroalimentare pentru stimularea lanțurilor scurte de aprovizionare. Prin asociere, micii producători pot identifica noi modalităţi de comercializare a unui volum mai mare de produse proprii şi de atragere a unor noi categorii de consumatori. Sprijinul pentru crearea de lanțuri scurte de aprovizionare este necesar în ceea ce privește deschiderea oportunităților de piață pentru fermieri, prin promovarea și vânzarea în comun de produse.</w:t>
      </w:r>
    </w:p>
    <w:p w14:paraId="24FC2EDC"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Obiectiv(e) de dezvoltare rurală </w:t>
      </w:r>
    </w:p>
    <w:p w14:paraId="799E6B49"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Măsură contribuie la următoarele obiective de dezvoltare rurală al Reg (UE) nr. 1305/2013: obținerea unei dezvoltări teritoriale echilibrate a economiilor și comunităților rurale, inclusiv crearea și menținerea de locuri de muncă; favorizarea competitivităţii agriculturii;</w:t>
      </w:r>
    </w:p>
    <w:p w14:paraId="4D86C6A8"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Obiective specifice/locale ale măsurii </w:t>
      </w:r>
    </w:p>
    <w:p w14:paraId="467FEDAD" w14:textId="77777777" w:rsidR="00D41378" w:rsidRPr="0087291D" w:rsidRDefault="00D41378" w:rsidP="00D41378">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Încurajarea dezvoltării organizaţiilor de producători din sectoarele agricole din teritoriul GAL „Câmpia Burnazului” în vederea obţinerii de produse de calitate, prin aplicarea unor tehnologii de producţie unitare; impulsionarea comercializarea produselor alimentare obținute la nivel local, prin lanțuri scurte și prin piețe locale;</w:t>
      </w:r>
    </w:p>
    <w:p w14:paraId="34CDED1A"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Contribuţie la prioritatea/priorităţile prevăzute în art. 5, Reg. (UE) nr. 1305/2013</w:t>
      </w:r>
    </w:p>
    <w:p w14:paraId="5B0DBD75"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Măsura contribuie la </w:t>
      </w:r>
      <w:r w:rsidRPr="0087291D">
        <w:rPr>
          <w:rFonts w:ascii="Cambria" w:eastAsia="Calibri" w:hAnsi="Cambria" w:cs="Trebuchet MS"/>
          <w:b/>
          <w:bCs/>
          <w:sz w:val="24"/>
          <w:szCs w:val="24"/>
          <w:lang w:val="ro-RO" w:eastAsia="en-US"/>
        </w:rPr>
        <w:t>Prioritatea 2</w:t>
      </w:r>
      <w:r w:rsidRPr="0087291D">
        <w:rPr>
          <w:rFonts w:ascii="Cambria" w:eastAsia="Calibri" w:hAnsi="Cambria" w:cs="Trebuchet MS"/>
          <w:bCs/>
          <w:sz w:val="24"/>
          <w:szCs w:val="24"/>
          <w:lang w:val="ro-RO" w:eastAsia="en-US"/>
        </w:rPr>
        <w:t xml:space="preserve"> Creșterea viabilității exploatațiilor și a competitivității tuturor tipurilor de agricultură în toate regiunile și promovarea tehnologiilor agricole inovatoare şi a gestionării durabile a pădurilor</w:t>
      </w:r>
      <w:r w:rsidRPr="0087291D" w:rsidDel="00B35AED">
        <w:rPr>
          <w:rFonts w:ascii="Cambria" w:eastAsia="Calibri" w:hAnsi="Cambria" w:cs="Trebuchet MS"/>
          <w:b/>
          <w:bCs/>
          <w:sz w:val="24"/>
          <w:szCs w:val="24"/>
          <w:lang w:val="ro-RO" w:eastAsia="en-US"/>
        </w:rPr>
        <w:t xml:space="preserve"> </w:t>
      </w:r>
      <w:r w:rsidRPr="0087291D">
        <w:rPr>
          <w:rFonts w:ascii="Cambria" w:eastAsia="Calibri" w:hAnsi="Cambria" w:cs="Trebuchet MS"/>
          <w:sz w:val="24"/>
          <w:szCs w:val="24"/>
          <w:lang w:val="ro-RO" w:eastAsia="en-US"/>
        </w:rPr>
        <w:t>.</w:t>
      </w:r>
    </w:p>
    <w:p w14:paraId="392A287E"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Măsura corespunde obiectivelor art. 17 din Reg. (UE) 1305/2013</w:t>
      </w:r>
      <w:r w:rsidRPr="0087291D">
        <w:rPr>
          <w:rFonts w:ascii="Cambria" w:eastAsia="Calibri" w:hAnsi="Cambria" w:cs="Trebuchet MS"/>
          <w:sz w:val="24"/>
          <w:szCs w:val="24"/>
          <w:lang w:val="ro-RO" w:eastAsia="en-US"/>
        </w:rPr>
        <w:t xml:space="preserve"> „Investiţii în active fizice”.</w:t>
      </w:r>
      <w:r w:rsidRPr="0087291D">
        <w:rPr>
          <w:rFonts w:ascii="Cambria" w:eastAsia="Calibri" w:hAnsi="Cambria" w:cs="Trebuchet MS"/>
          <w:b/>
          <w:bCs/>
          <w:sz w:val="24"/>
          <w:szCs w:val="24"/>
          <w:lang w:val="ro-RO" w:eastAsia="en-US"/>
        </w:rPr>
        <w:t xml:space="preserve"> </w:t>
      </w:r>
    </w:p>
    <w:p w14:paraId="21602E56"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Contribuţie la Domeniul de intervenţie:</w:t>
      </w:r>
    </w:p>
    <w:p w14:paraId="01DE5471" w14:textId="77777777" w:rsidR="00D41378" w:rsidRPr="0087291D" w:rsidRDefault="00D41378" w:rsidP="00D41378">
      <w:p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sz w:val="24"/>
          <w:szCs w:val="24"/>
          <w:lang w:val="ro-RO" w:eastAsia="en-US"/>
        </w:rPr>
        <w:lastRenderedPageBreak/>
        <w:t>Măsura contribuie la domeniul de intervenţie 2A) Îmbunătățirea performanței economice a tuturor fermelor şi facilitarea restructurării şi modernizării fermelor, în special în vederea creşterii participării şi orientării către piaţă, cât şi a diversificării agricole</w:t>
      </w:r>
      <w:r w:rsidRPr="0087291D">
        <w:rPr>
          <w:rFonts w:ascii="Cambria" w:eastAsia="Calibri" w:hAnsi="Cambria" w:cs="Trebuchet MS"/>
          <w:b/>
          <w:bCs/>
          <w:sz w:val="24"/>
          <w:szCs w:val="24"/>
          <w:lang w:val="ro-RO" w:eastAsia="en-US"/>
        </w:rPr>
        <w:t>;</w:t>
      </w:r>
    </w:p>
    <w:p w14:paraId="495A1332" w14:textId="77777777" w:rsidR="00D41378" w:rsidRPr="0087291D" w:rsidRDefault="00D41378" w:rsidP="00D41378">
      <w:pPr>
        <w:numPr>
          <w:ilvl w:val="0"/>
          <w:numId w:val="13"/>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Contribuţie la obiective transversale ale Reg. (UE) nr. 1305/2013</w:t>
      </w:r>
    </w:p>
    <w:p w14:paraId="1F9F3C16"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Măsura contribuie la obiectivele transversale legate de inovare, de protecția mediului și de atenuarea schimbărilor climatice și de adaptarea la acestea, astfel:</w:t>
      </w:r>
    </w:p>
    <w:p w14:paraId="3AD0D715" w14:textId="77777777" w:rsidR="00D41378" w:rsidRPr="0087291D" w:rsidRDefault="00D41378" w:rsidP="00D41378">
      <w:p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Inovare: </w:t>
      </w:r>
    </w:p>
    <w:p w14:paraId="78D81838" w14:textId="77777777" w:rsidR="00D41378" w:rsidRPr="0087291D" w:rsidRDefault="00D41378" w:rsidP="00D41378">
      <w:pPr>
        <w:tabs>
          <w:tab w:val="left" w:pos="285"/>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Prin cooperare, micii producători pot identifica modalităţi inovatoare de comercializare a unui volum mai mare de produse proprii şi de atragere a unor noi categorii de consumatori. Modalităţile inovative ar permite fermierilor să capitalizeze în comun produsele obținute, să-și adapteze producția la cerințele pieței, să aibă un acces mai bun la inputuri, echipamente, credite și piață, să-și optimizeze costurile de producție, să creeze lanțuri scurte de aprovizionare și să facă față diferitelor provocări de pe piață.</w:t>
      </w:r>
    </w:p>
    <w:p w14:paraId="15260326" w14:textId="77777777" w:rsidR="00D41378" w:rsidRPr="0087291D" w:rsidRDefault="00D41378" w:rsidP="00D41378">
      <w:p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Mediu şi atenuarea şi adaptarea la schimbările climatice: </w:t>
      </w:r>
    </w:p>
    <w:p w14:paraId="6E53845F"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Organizatiile de producători pot avea o contribuție importantă la atenuarea și adaptarea la schimbările climatice prin acțiuni practice pentru a atinge țintele agreate. Prin cerinţele ce vor fi incluse în planul de afaceri al grupului de producători vor putea fi promovate şi respectate bunele practici de mediu, iar realizarea unor investiţii colective va putea asigura o eficientă mai mare în ceea ce priveşte gestionarea apei şi a deşeurilor şi va facilita utilizarea surselor de energie regenerabilă în folosul membrilor săi.</w:t>
      </w:r>
    </w:p>
    <w:p w14:paraId="150A19DD"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Organizațiile de producători pot ajuta micile exploatații ale membrilor să contribuie într-o măsură mai mare la atenuarea acestora, prin furnizarea de consultanţă, de exemplu cu privire la practici agricole îmbunătăţite şi adoptarea unor măsuri agronomice practice pentru a spori rezistența sistemelor agricole la inundații și secete, inclusiv prin posibilitatea promovării prin intermediul planului de afaceri a unor investiții colective (gestionarea gunoiului de grajd). De asemenea, comercializarea comună a produselor alimentare obținute la nivel local, poate avea efecte pozitive asupra mediului și climei prin reducerea consumului de energie și, implicit, a emisiilor de GES.</w:t>
      </w:r>
    </w:p>
    <w:p w14:paraId="3F8EF5BF" w14:textId="77777777" w:rsidR="00D41378" w:rsidRPr="0087291D" w:rsidRDefault="00D41378" w:rsidP="00D41378">
      <w:pPr>
        <w:numPr>
          <w:ilvl w:val="0"/>
          <w:numId w:val="13"/>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Complementaritatea cu alte măsuri din SDL </w:t>
      </w:r>
    </w:p>
    <w:p w14:paraId="6A767EA5"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Măsura M4/2A este complementara cu M1/1C deoarece beneficiarii direcţi ai acestei măsuri sunt incluşi în categoria de beneficiari ai măsurii M1/1C. Baza introducerii şi realizării acestei măsuri o constituie Măsura M1/1C, având rolul de pregătire; de fapt Măsura M1/1C este precondiţia accesării acestei măsuri. Luând parte la cursurile de formare profesionale, membrii formelor asociative vor căpăta cunoştinţe specifice pe care le vor putea utiliza în scopul dezvoltării activităţii/întreprinderii lor din sectoarele prioritare. De asemenea, măsura M4/2A poate fi complementara cu măsurile M3/3A şi M5/3A, membii formei asociative putând fi beneficiari pe aceste măsuri. </w:t>
      </w:r>
    </w:p>
    <w:p w14:paraId="5EE56D1C" w14:textId="77777777" w:rsidR="00D41378" w:rsidRPr="0087291D" w:rsidRDefault="00D41378" w:rsidP="00D41378">
      <w:pPr>
        <w:numPr>
          <w:ilvl w:val="0"/>
          <w:numId w:val="13"/>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Sinergia cu alte măsuri din SDL</w:t>
      </w:r>
    </w:p>
    <w:p w14:paraId="2297BDF7"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Măsura M4/2A este sinergica cu măsura M2/2B, ambele măsuri contribuind la P2. </w:t>
      </w:r>
    </w:p>
    <w:p w14:paraId="325F6AB3"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Valoarea adăugată a măsurii </w:t>
      </w:r>
    </w:p>
    <w:p w14:paraId="118D10D3"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Rolul inovării, al transferului de cunoaştere şi bune practici este esenţial în vederea creşterii performanţelor economice şi de mediu a exploataţiilor agricole. Lipsa legăturilor </w:t>
      </w:r>
      <w:r w:rsidRPr="0087291D">
        <w:rPr>
          <w:rFonts w:ascii="Cambria" w:eastAsia="Calibri" w:hAnsi="Cambria" w:cs="Trebuchet MS"/>
          <w:sz w:val="24"/>
          <w:szCs w:val="24"/>
          <w:lang w:val="ro-RO" w:eastAsia="en-US"/>
        </w:rPr>
        <w:lastRenderedPageBreak/>
        <w:t>dintre producătorii agricoli este un factor care împiedică realizarea acestui transfer şi diseminarea adecvată a informaţiei şi cunoaşterii. În plus, slabă integrare a fermierilor în lanţul valoric contribuie la competitivitatea redusă a acestora şi accentuează nevoia unei mai bune cooperări. Măsură va stimula acţiunile de asociere dintre producătorii agricoli precum şi dintre aceştia şi alţi actori din lanţul valoric în vederea unei mai bune integrări pe piaţă, creării de noi forme de colaborare, lanţuri scurte, pieţe locale, etc. Vor fi finanţate cu prioritate proiectele care promovează preluarea de  metode moderne şi inovative şi acţiuni de atenuare a schimbărilor climatice şi aspecte legate de protecţia mediului.</w:t>
      </w:r>
    </w:p>
    <w:p w14:paraId="6BCB202D"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Trimiteri la alte acte legislative </w:t>
      </w:r>
    </w:p>
    <w:p w14:paraId="6A9E6105"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Ordonanţa nr. 37/2005 aprobată cu modificări şi completări prin Legea nr.338/2005, cu completările şi modificările ulterioare.</w:t>
      </w:r>
    </w:p>
    <w:p w14:paraId="58FCF4A0"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Beneficiari direcți/indirecți (grup țintă) </w:t>
      </w:r>
    </w:p>
    <w:p w14:paraId="7B4188F8"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Organizaţii de producători din sectorul agricol (cooperative agricole, societati cooperative agricole etc) care se încadrează în definiția IMM-urilor.</w:t>
      </w:r>
    </w:p>
    <w:p w14:paraId="1C30930C"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Tip de sprijin </w:t>
      </w:r>
    </w:p>
    <w:p w14:paraId="0E85FE11" w14:textId="77777777" w:rsidR="00D41378" w:rsidRPr="0087291D" w:rsidRDefault="00D41378" w:rsidP="00D41378">
      <w:pPr>
        <w:tabs>
          <w:tab w:val="left" w:pos="270"/>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Rambursarea costurilor eligibile suportate și plătite efectiv, în conformitate cu prevederile art. 67 al Reg. (UE) nr. 1303/2013; plăți în avans, cu condiția constituirii unei garanții bancare sau a unei garanții echivalente corespunzătoare procentului de 100% din valoarea avansului, în conformitate cu art. 45 (4) și art. 63 ale Reg. (UE) nr. 1305/2013</w:t>
      </w:r>
    </w:p>
    <w:p w14:paraId="45708953"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Tipuri de acțiuni eligibile și neeligibile </w:t>
      </w:r>
    </w:p>
    <w:p w14:paraId="09510302"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u w:val="single"/>
          <w:lang w:val="ro-RO" w:eastAsia="en-US"/>
        </w:rPr>
      </w:pPr>
      <w:r w:rsidRPr="0087291D">
        <w:rPr>
          <w:rFonts w:ascii="Cambria" w:eastAsia="Calibri" w:hAnsi="Cambria" w:cs="Trebuchet MS"/>
          <w:sz w:val="24"/>
          <w:szCs w:val="24"/>
          <w:u w:val="single"/>
          <w:lang w:val="ro-RO" w:eastAsia="en-US"/>
        </w:rPr>
        <w:t xml:space="preserve">Acțiuni eligibile: </w:t>
      </w:r>
    </w:p>
    <w:p w14:paraId="03ED0CA4"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Înfiinţarea, extinderea şi/sau modernizarea fermelor vegetale, inclusiv capacități de stocare, condiționare, sortare, ambalare a producției vegetale pentru creșterea valorii adăugate a produselor, incluzând investiţiile pentru respectarea standardelor comunitare şi pe cele pentru protecţia mediului şi depozitarea îngrăşămintelor;</w:t>
      </w:r>
    </w:p>
    <w:p w14:paraId="380AA9CC"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Construirea şi/sau modernizarea fermelor zootehnice: echipamente pentru producerea de furaje, instalaţii de muls, linii tehnologice de prelucrare şi ambalare a produselor, dotări tehnice în scopul asigurării controlului calităţii la nivel de fermă, inclusiv tehnologii eficiente de reducerea emisiilor poluării și respectarea standardelor și cele pentru depozitarea/ gestionarea adecvată a gunoiului de grajd;</w:t>
      </w:r>
    </w:p>
    <w:p w14:paraId="0C20D61F"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Construirea şi/sau modernizarea căilor de acces în cadrul fermei, inclusiv utilităţi şi racordări; </w:t>
      </w:r>
    </w:p>
    <w:p w14:paraId="62C32306"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Construirea şi/sau modernizarea serelor, inclusiv a centralelor termice şi instalaţiilor de irigat ale acestora, asigurarea utilităţilor în vederea respectării condiţiilor de mediu;</w:t>
      </w:r>
    </w:p>
    <w:p w14:paraId="73238D1F"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Achiziţionarea sau achiziţionarea în leasing de tractoare noi, combine de recoltat, maşini, utilaje, instalaţii, echipamente şi accesorii, echipamente şi software specializate;</w:t>
      </w:r>
    </w:p>
    <w:p w14:paraId="35E9C657"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Investiții în procesarea produselor agricole la nivel de fermă, precum și investiții în vederea comercializării (precum magazinele la poarta fermei sau rulotele alimentare prin care vor fi comercializate exclusiv propriile produse agricole); Investițiile de procesare la nivelul fermei vor fi realizate ca o componentă secundară a proiectului, doar împreună cu investițiile în înființarea/modernizarea/dezvoltarea fermei (considerate ca fiind </w:t>
      </w:r>
      <w:r w:rsidRPr="0087291D">
        <w:rPr>
          <w:rFonts w:ascii="Cambria" w:eastAsia="Calibri" w:hAnsi="Cambria" w:cs="Trebuchet MS"/>
          <w:bCs/>
          <w:sz w:val="24"/>
          <w:szCs w:val="24"/>
          <w:lang w:val="ro-RO" w:eastAsia="en-US"/>
        </w:rPr>
        <w:lastRenderedPageBreak/>
        <w:t>proiecte ce vizează un lanț alimentar integrat și adăugarea de plus valoare la nivel de fermă);</w:t>
      </w:r>
    </w:p>
    <w:p w14:paraId="646AB69E"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Investiții în înființarea şi/sau modernizarea instalaţiilor pentru irigaţii în cadrul fermei, inclusiv facilități de stocare a apei la nivel de fermă; </w:t>
      </w:r>
    </w:p>
    <w:p w14:paraId="6CECC262"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Investiții în producerea şi utilizarea energiei din surse regenerabile în cadrul fermei, iar energia obținută va fi destinată exclusiv consumului propriu; </w:t>
      </w:r>
    </w:p>
    <w:p w14:paraId="51EA1486"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Investiții necorporale: achiziționarea sau dezvoltarea de software și achiziționarea de brevete, licențe, drepturi de autor, mărci etc.</w:t>
      </w:r>
    </w:p>
    <w:p w14:paraId="1C223A50"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Tipuri de acţiuni neeligibile aferente acestei măsuri sunt următoarele:</w:t>
      </w:r>
    </w:p>
    <w:p w14:paraId="6823DC89"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achiziţia de clădiri; </w:t>
      </w:r>
    </w:p>
    <w:p w14:paraId="42D06CEE"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construcția și modernizarea locuinței; </w:t>
      </w:r>
    </w:p>
    <w:p w14:paraId="50EFB549"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achiziția de drepturi de producție agricolă, de drepturi la plată, animale, plante anuale și plantarea acestora din urmă; </w:t>
      </w:r>
    </w:p>
    <w:p w14:paraId="170A8EA9"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investițiile în culturi energetice din specii forestiere cu ciclu scurt de producție, întreţinerea culturilor agricole.</w:t>
      </w:r>
    </w:p>
    <w:p w14:paraId="0B0F9468"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Condiții de eligibilitate </w:t>
      </w:r>
    </w:p>
    <w:p w14:paraId="6FBD174B"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Solicitantul trebuie să se încadreze în categoria beneficiarilor eligibili;</w:t>
      </w:r>
    </w:p>
    <w:p w14:paraId="44339D52"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Sediul social și/sau punctul de lucru trebuie să fie situate în teritoriul GAL “Câmpia Burnazului”</w:t>
      </w:r>
    </w:p>
    <w:p w14:paraId="0B271D0C"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Solicitantul trebuie să își desfășoare activitatea aferentă investiției finanțate în teritoriul GAL “Câmpia Burnazului; în cazul în care proiectul este amplasat atât pe teritoriul GAL, cât și în zona adiacentă acestuia, finanțarea proiectului este eligibilă cu condiția ca solicitantul să aibă sediu sau punct de lucru pe teritoriul acoperit de GAL, investiția să se realizeze pe teritoriul GAL și ponderea cea mai mare a exploatației agricole (suprafața agricolă/numărul de animale) să se afle pe teritoriul GAL;</w:t>
      </w:r>
    </w:p>
    <w:p w14:paraId="7692090F"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Investiţia trebuie să se încadreze în cel puţin una din acţiunile eligibile prevăzute prin fișa măsurii din SDL;</w:t>
      </w:r>
    </w:p>
    <w:p w14:paraId="5B726B06"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Viabilitatea economică a investiției trebuie să fie demonstrată în baza documentației tehnico-economice;</w:t>
      </w:r>
    </w:p>
    <w:p w14:paraId="4F80B8A5"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Solicitantul trebuie să demonstreze asigurarea cofinanțării investiției;</w:t>
      </w:r>
    </w:p>
    <w:p w14:paraId="18386843"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Investiția va respecta legislaţia în vigoare din domeniul: sănătății publice, sanitar-veterinar și de siguranță alimentară;</w:t>
      </w:r>
    </w:p>
    <w:p w14:paraId="47048F68"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Investiţia trebuie să se realizeze în cadrul unei ferme cu o dimensiune economică de minim 4.000 SO (valoarea producţiei standard);</w:t>
      </w:r>
    </w:p>
    <w:p w14:paraId="14FE640C"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Investițiile în instalații al căror scop principal este producerea de energie electrică, prin utilizarea biomasei, trebuie să respecte prevederile art. 13 (d) din R.807/2014, prin demonstrarea utilizării unui procent minim de energie termică de 10%;</w:t>
      </w:r>
    </w:p>
    <w:p w14:paraId="7E50DCF9"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În cazul procesării la nivel de fermă, materia primă procesată va fi produs agricol (conform Anexei I la Tratat) şi produsul rezultat va fi doar produs Anexa I la Tratat.</w:t>
      </w:r>
    </w:p>
    <w:p w14:paraId="7F3A3AA2"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Criterii de selecție </w:t>
      </w:r>
    </w:p>
    <w:p w14:paraId="77E8548E" w14:textId="77777777" w:rsidR="00D41378" w:rsidRPr="0087291D" w:rsidRDefault="00D41378" w:rsidP="00D41378">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Principiul reprezentativității organizatiilor de producători (numărul de membri);</w:t>
      </w:r>
    </w:p>
    <w:p w14:paraId="2700C798" w14:textId="77777777" w:rsidR="00D41378" w:rsidRPr="0087291D" w:rsidRDefault="00D41378" w:rsidP="00D41378">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proiecte care promovează acţiuni de protecţia mediului (ex: utilizarea energiilor alternative);</w:t>
      </w:r>
    </w:p>
    <w:p w14:paraId="63F5DD5F" w14:textId="77777777" w:rsidR="00D41378" w:rsidRPr="0087291D" w:rsidRDefault="00D41378" w:rsidP="00D41378">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lastRenderedPageBreak/>
        <w:t>proiecte care promovează acţiuni inovative (ex: proiecte care utilizează noi tehnologii etc);</w:t>
      </w:r>
    </w:p>
    <w:p w14:paraId="6A3A6677" w14:textId="77777777" w:rsidR="00D41378" w:rsidRPr="0087291D" w:rsidRDefault="00D41378" w:rsidP="00D41378">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alte criterii </w:t>
      </w:r>
      <w:r w:rsidRPr="0087291D">
        <w:rPr>
          <w:rFonts w:ascii="Cambria" w:eastAsia="Calibri" w:hAnsi="Cambria" w:cs="Calibri"/>
          <w:sz w:val="24"/>
          <w:szCs w:val="24"/>
          <w:lang w:val="ro-RO" w:eastAsia="en-US"/>
        </w:rPr>
        <w:t>î</w:t>
      </w:r>
      <w:r w:rsidRPr="0087291D">
        <w:rPr>
          <w:rFonts w:ascii="Cambria" w:eastAsia="Calibri" w:hAnsi="Cambria" w:cs="Trebuchet MS"/>
          <w:sz w:val="24"/>
          <w:szCs w:val="24"/>
          <w:lang w:val="ro-RO" w:eastAsia="en-US"/>
        </w:rPr>
        <w:t>n acord cu specificul teritoriului, dacă este cazul.</w:t>
      </w:r>
    </w:p>
    <w:p w14:paraId="5D79E514"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Sume (aplicabile) și rata sprijinului </w:t>
      </w:r>
    </w:p>
    <w:p w14:paraId="28562827"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Sprijinul public nerambursabil este de maxim 170.000 de euro/proiect.</w:t>
      </w:r>
    </w:p>
    <w:p w14:paraId="0C4F2BA0"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Intensitatea sprijinului public nerambursabil va fi de 70% şi poate ajunge până la 90%, </w:t>
      </w:r>
      <w:r w:rsidRPr="0087291D">
        <w:rPr>
          <w:rFonts w:ascii="Cambria" w:eastAsia="Calibri" w:hAnsi="Cambria" w:cs="Calibri"/>
          <w:sz w:val="24"/>
          <w:szCs w:val="24"/>
          <w:lang w:val="ro-RO" w:eastAsia="en-US"/>
        </w:rPr>
        <w:t>ȋ</w:t>
      </w:r>
      <w:r w:rsidRPr="0087291D">
        <w:rPr>
          <w:rFonts w:ascii="Cambria" w:eastAsia="Calibri" w:hAnsi="Cambria" w:cs="Trebuchet MS"/>
          <w:sz w:val="24"/>
          <w:szCs w:val="24"/>
          <w:lang w:val="ro-RO" w:eastAsia="en-US"/>
        </w:rPr>
        <w:t>n cazul:</w:t>
      </w:r>
    </w:p>
    <w:p w14:paraId="5449493A"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Investiţiilor realizate de tinerii fermieri, cu vârsta până la 40 de ani, inclusiv la data depunerii Cererii de finanțare;</w:t>
      </w:r>
    </w:p>
    <w:p w14:paraId="1A8B2770"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Investițiilor legate de operațiunile prevăzute la art. 28 (Agromediu) și art. 29 (Agricultura ecologică) din R(UE) nr. 1305/2013</w:t>
      </w:r>
    </w:p>
    <w:p w14:paraId="6774C6B5"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Investițiilor în zone care se confruntă cu constrângeri semnificative, menționate la art. 32 R(UE) nr. 1305/2013 - localităţile în dreptul cărora există menţiunea ANC SEMN - peste 50% din terenurile agricole ale membrilor cooperativei se regăsesc în aceste zone</w:t>
      </w:r>
    </w:p>
    <w:p w14:paraId="05F7F17D"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Indicatori de monitorizare </w:t>
      </w:r>
    </w:p>
    <w:p w14:paraId="13F7F2D3" w14:textId="77777777" w:rsidR="00D41378"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Numărul de exploatații agricole care primesc sprijin pentru participarea la grupuri/organizații de producători:11;</w:t>
      </w:r>
    </w:p>
    <w:p w14:paraId="2A2B34C9" w14:textId="77777777" w:rsidR="00D41378"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Numărul de grupuri/organizaţii de producători sprijinite: 2</w:t>
      </w:r>
    </w:p>
    <w:p w14:paraId="5694DC55" w14:textId="77777777" w:rsidR="00D41378"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Numărul de acţiuni ce includ componente de protejare a mediului: 1</w:t>
      </w:r>
    </w:p>
    <w:p w14:paraId="27D59680" w14:textId="77777777" w:rsidR="00D41378"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Numărul de acţiuni ce includ componente inovative: 1</w:t>
      </w:r>
    </w:p>
    <w:p w14:paraId="47FB7C60" w14:textId="2C6A10D5" w:rsidR="00CE0616"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rPr>
        <w:t xml:space="preserve">Cheltuiala publică totală pentru fondurile FEADR: </w:t>
      </w:r>
      <w:r w:rsidR="00644FEE" w:rsidRPr="00644FEE">
        <w:rPr>
          <w:rFonts w:ascii="Cambria" w:eastAsia="Calibri" w:hAnsi="Cambria" w:cs="Trebuchet MS"/>
          <w:sz w:val="24"/>
          <w:szCs w:val="24"/>
          <w:lang w:val="ro-RO"/>
        </w:rPr>
        <w:t>622.449,20</w:t>
      </w:r>
      <w:r w:rsidRPr="0087291D">
        <w:rPr>
          <w:rFonts w:ascii="Cambria" w:eastAsia="Calibri" w:hAnsi="Cambria" w:cs="Trebuchet MS"/>
          <w:sz w:val="24"/>
          <w:szCs w:val="24"/>
          <w:lang w:val="ro-RO" w:eastAsia="en-US"/>
        </w:rPr>
        <w:t xml:space="preserve"> Euro</w:t>
      </w:r>
      <w:r w:rsidRPr="0087291D">
        <w:rPr>
          <w:rFonts w:ascii="Cambria" w:eastAsia="Calibri" w:hAnsi="Cambria" w:cs="Trebuchet MS"/>
          <w:sz w:val="24"/>
          <w:szCs w:val="24"/>
          <w:lang w:val="ro-RO"/>
        </w:rPr>
        <w:t>.</w:t>
      </w:r>
    </w:p>
    <w:sectPr w:rsidR="00CE0616" w:rsidRPr="0087291D" w:rsidSect="00050E3E">
      <w:pgSz w:w="11906" w:h="16838"/>
      <w:pgMar w:top="1440" w:right="1440" w:bottom="1440" w:left="1440" w:header="567" w:footer="567"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14E7"/>
    <w:multiLevelType w:val="multilevel"/>
    <w:tmpl w:val="59362960"/>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04D4FDDA"/>
    <w:multiLevelType w:val="multilevel"/>
    <w:tmpl w:val="32142BF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2089F597"/>
    <w:multiLevelType w:val="multilevel"/>
    <w:tmpl w:val="4CE59650"/>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3" w15:restartNumberingAfterBreak="0">
    <w:nsid w:val="273D3261"/>
    <w:multiLevelType w:val="multilevel"/>
    <w:tmpl w:val="46A7D412"/>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15:restartNumberingAfterBreak="0">
    <w:nsid w:val="2D646B39"/>
    <w:multiLevelType w:val="multilevel"/>
    <w:tmpl w:val="1406190B"/>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15:restartNumberingAfterBreak="0">
    <w:nsid w:val="446E4B36"/>
    <w:multiLevelType w:val="multilevel"/>
    <w:tmpl w:val="15FF7EA4"/>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15:restartNumberingAfterBreak="0">
    <w:nsid w:val="47E24465"/>
    <w:multiLevelType w:val="multilevel"/>
    <w:tmpl w:val="31E5E147"/>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4BDB8CAA"/>
    <w:multiLevelType w:val="multilevel"/>
    <w:tmpl w:val="423D0887"/>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5377524A"/>
    <w:multiLevelType w:val="hybridMultilevel"/>
    <w:tmpl w:val="BADE84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ADFF8"/>
    <w:multiLevelType w:val="multilevel"/>
    <w:tmpl w:val="E202022A"/>
    <w:lvl w:ilvl="0">
      <w:start w:val="1"/>
      <w:numFmt w:val="decimal"/>
      <w:lvlText w:val="%1."/>
      <w:lvlJc w:val="left"/>
      <w:pPr>
        <w:tabs>
          <w:tab w:val="num" w:pos="360"/>
        </w:tabs>
      </w:pPr>
      <w:rPr>
        <w:rFonts w:ascii="Trebuchet MS" w:hAnsi="Trebuchet MS" w:cs="Times New Roman"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5C1F5A05"/>
    <w:multiLevelType w:val="hybridMultilevel"/>
    <w:tmpl w:val="6F1C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00953"/>
    <w:multiLevelType w:val="multilevel"/>
    <w:tmpl w:val="1B7AC3DD"/>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15:restartNumberingAfterBreak="0">
    <w:nsid w:val="71877D94"/>
    <w:multiLevelType w:val="multilevel"/>
    <w:tmpl w:val="753C83E9"/>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74F81D23"/>
    <w:multiLevelType w:val="hybridMultilevel"/>
    <w:tmpl w:val="F36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5CAAC"/>
    <w:multiLevelType w:val="multilevel"/>
    <w:tmpl w:val="54100021"/>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16cid:durableId="1965039794">
    <w:abstractNumId w:val="4"/>
  </w:num>
  <w:num w:numId="2" w16cid:durableId="1493138055">
    <w:abstractNumId w:val="14"/>
  </w:num>
  <w:num w:numId="3" w16cid:durableId="137890855">
    <w:abstractNumId w:val="0"/>
  </w:num>
  <w:num w:numId="4" w16cid:durableId="1051424457">
    <w:abstractNumId w:val="7"/>
  </w:num>
  <w:num w:numId="5" w16cid:durableId="566844772">
    <w:abstractNumId w:val="13"/>
  </w:num>
  <w:num w:numId="6" w16cid:durableId="1953243968">
    <w:abstractNumId w:val="10"/>
  </w:num>
  <w:num w:numId="7" w16cid:durableId="504827449">
    <w:abstractNumId w:val="2"/>
  </w:num>
  <w:num w:numId="8" w16cid:durableId="974991738">
    <w:abstractNumId w:val="1"/>
  </w:num>
  <w:num w:numId="9" w16cid:durableId="1859391103">
    <w:abstractNumId w:val="6"/>
  </w:num>
  <w:num w:numId="10" w16cid:durableId="320735522">
    <w:abstractNumId w:val="9"/>
  </w:num>
  <w:num w:numId="11" w16cid:durableId="998073917">
    <w:abstractNumId w:val="11"/>
  </w:num>
  <w:num w:numId="12" w16cid:durableId="569736883">
    <w:abstractNumId w:val="5"/>
  </w:num>
  <w:num w:numId="13" w16cid:durableId="1707876008">
    <w:abstractNumId w:val="3"/>
  </w:num>
  <w:num w:numId="14" w16cid:durableId="742487621">
    <w:abstractNumId w:val="12"/>
  </w:num>
  <w:num w:numId="15" w16cid:durableId="1723824151">
    <w:abstractNumId w:val="8"/>
  </w:num>
  <w:num w:numId="16" w16cid:durableId="1767800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5398514">
    <w:abstractNumId w:val="12"/>
  </w:num>
  <w:num w:numId="18" w16cid:durableId="1027095280">
    <w:abstractNumId w:val="3"/>
  </w:num>
  <w:num w:numId="19" w16cid:durableId="259531456">
    <w:abstractNumId w:val="6"/>
  </w:num>
  <w:num w:numId="20" w16cid:durableId="701594239">
    <w:abstractNumId w:val="1"/>
  </w:num>
  <w:num w:numId="21" w16cid:durableId="822161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5E"/>
    <w:rsid w:val="00050E3E"/>
    <w:rsid w:val="00050FC1"/>
    <w:rsid w:val="000E2B17"/>
    <w:rsid w:val="001A085E"/>
    <w:rsid w:val="001A516E"/>
    <w:rsid w:val="002364D7"/>
    <w:rsid w:val="00284AA3"/>
    <w:rsid w:val="00300116"/>
    <w:rsid w:val="003F59CD"/>
    <w:rsid w:val="00405D4F"/>
    <w:rsid w:val="00420C88"/>
    <w:rsid w:val="00452960"/>
    <w:rsid w:val="00461EAA"/>
    <w:rsid w:val="004710EA"/>
    <w:rsid w:val="004D2FF2"/>
    <w:rsid w:val="005079CF"/>
    <w:rsid w:val="00551333"/>
    <w:rsid w:val="006355A6"/>
    <w:rsid w:val="00644FEE"/>
    <w:rsid w:val="00870574"/>
    <w:rsid w:val="0087291D"/>
    <w:rsid w:val="008A686E"/>
    <w:rsid w:val="009C75CA"/>
    <w:rsid w:val="00AF7E58"/>
    <w:rsid w:val="00B259B5"/>
    <w:rsid w:val="00B37DB7"/>
    <w:rsid w:val="00CE0616"/>
    <w:rsid w:val="00D21569"/>
    <w:rsid w:val="00D41378"/>
    <w:rsid w:val="00D60BB1"/>
    <w:rsid w:val="00D7797B"/>
    <w:rsid w:val="00DC66AA"/>
    <w:rsid w:val="00E919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3EBA"/>
  <w15:chartTrackingRefBased/>
  <w15:docId w15:val="{79A17D73-1C80-4AE4-B3BC-8CC42681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D7"/>
    <w:pPr>
      <w:spacing w:after="200" w:line="276" w:lineRule="auto"/>
    </w:pPr>
    <w:rPr>
      <w:rFonts w:ascii="Calibri" w:eastAsia="Times New Roman"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ompletat">
    <w:name w:val="De completat"/>
    <w:basedOn w:val="Normal"/>
    <w:link w:val="DecompletatChar"/>
    <w:qFormat/>
    <w:rsid w:val="00300116"/>
    <w:pPr>
      <w:spacing w:after="0"/>
      <w:ind w:firstLine="709"/>
      <w:jc w:val="both"/>
    </w:pPr>
    <w:rPr>
      <w:rFonts w:ascii="Trebuchet MS" w:eastAsia="Calibri" w:hAnsi="Trebuchet MS"/>
      <w:i/>
      <w:color w:val="FF0000"/>
      <w:lang w:val="ro-RO" w:eastAsia="en-US"/>
    </w:rPr>
  </w:style>
  <w:style w:type="character" w:customStyle="1" w:styleId="DecompletatChar">
    <w:name w:val="De completat Char"/>
    <w:link w:val="Decompletat"/>
    <w:rsid w:val="00300116"/>
    <w:rPr>
      <w:rFonts w:ascii="Trebuchet MS" w:eastAsia="Calibri" w:hAnsi="Trebuchet MS" w:cs="Times New Roman"/>
      <w:i/>
      <w:color w:val="FF0000"/>
      <w:lang w:val="ro-RO"/>
    </w:rPr>
  </w:style>
  <w:style w:type="paragraph" w:styleId="ListParagraph">
    <w:name w:val="List Paragraph"/>
    <w:basedOn w:val="Normal"/>
    <w:uiPriority w:val="34"/>
    <w:qFormat/>
    <w:rsid w:val="00D21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9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CorinaM</dc:creator>
  <cp:keywords/>
  <dc:description/>
  <cp:lastModifiedBy>Yasemin</cp:lastModifiedBy>
  <cp:revision>8</cp:revision>
  <dcterms:created xsi:type="dcterms:W3CDTF">2022-10-10T19:36:00Z</dcterms:created>
  <dcterms:modified xsi:type="dcterms:W3CDTF">2024-11-21T14:41:00Z</dcterms:modified>
</cp:coreProperties>
</file>