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DA49" w14:textId="08B895A0" w:rsidR="002364D7" w:rsidRPr="003C0A9C" w:rsidRDefault="00A964B0" w:rsidP="003C0A9C">
      <w:pPr>
        <w:autoSpaceDE w:val="0"/>
        <w:autoSpaceDN w:val="0"/>
        <w:adjustRightInd w:val="0"/>
        <w:spacing w:after="0"/>
        <w:jc w:val="right"/>
        <w:rPr>
          <w:rFonts w:ascii="Cambria" w:eastAsia="Calibri" w:hAnsi="Cambria" w:cs="Arial"/>
          <w:b/>
          <w:bCs/>
          <w:lang w:val="ro-RO" w:eastAsia="en-US"/>
        </w:rPr>
      </w:pPr>
      <w:r w:rsidRPr="003C0A9C">
        <w:rPr>
          <w:rFonts w:ascii="Cambria" w:eastAsia="Calibri" w:hAnsi="Cambria" w:cs="Arial"/>
          <w:b/>
          <w:bCs/>
          <w:lang w:val="ro-RO" w:eastAsia="en-US"/>
        </w:rPr>
        <w:t xml:space="preserve">Anexa nr. </w:t>
      </w:r>
      <w:r w:rsidR="00001408">
        <w:rPr>
          <w:rFonts w:ascii="Cambria" w:eastAsia="Calibri" w:hAnsi="Cambria" w:cs="Arial"/>
          <w:b/>
          <w:bCs/>
          <w:lang w:val="ro-RO" w:eastAsia="en-US"/>
        </w:rPr>
        <w:t>5</w:t>
      </w:r>
    </w:p>
    <w:p w14:paraId="2CB6F8EA" w14:textId="77777777" w:rsidR="00CE0616" w:rsidRPr="003C0A9C" w:rsidRDefault="00CE0616" w:rsidP="003C0A9C">
      <w:pPr>
        <w:autoSpaceDE w:val="0"/>
        <w:autoSpaceDN w:val="0"/>
        <w:adjustRightInd w:val="0"/>
        <w:spacing w:after="0"/>
        <w:jc w:val="right"/>
        <w:rPr>
          <w:rFonts w:ascii="Cambria" w:eastAsia="Calibri" w:hAnsi="Cambria" w:cs="Arial"/>
          <w:b/>
          <w:bCs/>
          <w:lang w:val="ro-RO" w:eastAsia="en-US"/>
        </w:rPr>
      </w:pPr>
    </w:p>
    <w:p w14:paraId="0277ED0C" w14:textId="77777777" w:rsidR="00CE0616" w:rsidRPr="003C0A9C" w:rsidRDefault="00CE0616" w:rsidP="003C0A9C">
      <w:pPr>
        <w:autoSpaceDE w:val="0"/>
        <w:autoSpaceDN w:val="0"/>
        <w:adjustRightInd w:val="0"/>
        <w:spacing w:after="0"/>
        <w:jc w:val="right"/>
        <w:rPr>
          <w:rFonts w:ascii="Cambria" w:eastAsia="Calibri" w:hAnsi="Cambria" w:cs="Arial"/>
          <w:b/>
          <w:bCs/>
          <w:lang w:val="ro-RO" w:eastAsia="en-US"/>
        </w:rPr>
      </w:pPr>
    </w:p>
    <w:p w14:paraId="4DCD9623"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 xml:space="preserve">Fişa măsurii: Sprijin pentru implementarea schemelor de calitate în teritoriul GAL „Câmpia Burnazului” – Codul măsurii – M5/3A  </w:t>
      </w:r>
    </w:p>
    <w:p w14:paraId="6305A012"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b/>
          <w:bCs/>
          <w:lang w:val="ro-RO" w:eastAsia="en-US"/>
        </w:rPr>
        <w:t>Tipul măsurii:</w:t>
      </w:r>
      <w:r w:rsidRPr="003C0A9C">
        <w:rPr>
          <w:rFonts w:ascii="Segoe UI Symbol" w:eastAsia="Calibri" w:hAnsi="Segoe UI Symbol" w:cs="Segoe UI Symbol"/>
          <w:lang w:val="ro-RO" w:eastAsia="en-US"/>
        </w:rPr>
        <w:t>☐</w:t>
      </w:r>
      <w:r w:rsidRPr="003C0A9C">
        <w:rPr>
          <w:rFonts w:ascii="Cambria" w:eastAsia="Calibri" w:hAnsi="Cambria" w:cs="Trebuchet MS"/>
          <w:lang w:val="ro-RO" w:eastAsia="en-US"/>
        </w:rPr>
        <w:t xml:space="preserve"> INVESTIȚII </w:t>
      </w:r>
    </w:p>
    <w:p w14:paraId="69DABDD6"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xml:space="preserve">                     </w:t>
      </w:r>
      <w:r w:rsidRPr="003C0A9C">
        <w:rPr>
          <w:rFonts w:ascii="Segoe UI Symbol" w:eastAsia="Calibri" w:hAnsi="Segoe UI Symbol" w:cs="Segoe UI Symbol"/>
          <w:b/>
          <w:bCs/>
          <w:lang w:val="ro-RO" w:eastAsia="en-US"/>
        </w:rPr>
        <w:t>☒</w:t>
      </w:r>
      <w:r w:rsidRPr="003C0A9C">
        <w:rPr>
          <w:rFonts w:ascii="Cambria" w:eastAsia="Calibri" w:hAnsi="Cambria" w:cs="Trebuchet MS"/>
          <w:lang w:val="ro-RO" w:eastAsia="en-US"/>
        </w:rPr>
        <w:t xml:space="preserve"> SERVICII </w:t>
      </w:r>
    </w:p>
    <w:p w14:paraId="07B198C8"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lang w:val="ro-RO" w:eastAsia="en-US"/>
        </w:rPr>
        <w:t xml:space="preserve">                     </w:t>
      </w:r>
      <w:r w:rsidRPr="003C0A9C">
        <w:rPr>
          <w:rFonts w:ascii="Segoe UI Symbol" w:eastAsia="Calibri" w:hAnsi="Segoe UI Symbol" w:cs="Segoe UI Symbol"/>
          <w:lang w:val="ro-RO" w:eastAsia="en-US"/>
        </w:rPr>
        <w:t>☐</w:t>
      </w:r>
      <w:r w:rsidRPr="003C0A9C">
        <w:rPr>
          <w:rFonts w:ascii="Cambria" w:eastAsia="Calibri" w:hAnsi="Cambria" w:cs="Trebuchet MS"/>
          <w:b/>
          <w:bCs/>
          <w:lang w:val="ro-RO" w:eastAsia="en-US"/>
        </w:rPr>
        <w:t xml:space="preserve"> SPRIJIN FORFETAR </w:t>
      </w:r>
    </w:p>
    <w:p w14:paraId="433EE28F" w14:textId="77777777" w:rsidR="00E1333F" w:rsidRPr="003C0A9C" w:rsidRDefault="00E1333F" w:rsidP="003C0A9C">
      <w:pPr>
        <w:numPr>
          <w:ilvl w:val="0"/>
          <w:numId w:val="19"/>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Descrierea generală a măsurii, inclusiv a logicii de intervenție a acesteia și a contribuției la prioritățile strategiei, la domeniile de intervenție, la obiectivele transversale și a complementarității cu alte măsuri din SDL</w:t>
      </w:r>
    </w:p>
    <w:p w14:paraId="5E8660BD" w14:textId="77777777" w:rsidR="00E1333F" w:rsidRPr="003C0A9C" w:rsidRDefault="00E1333F" w:rsidP="003C0A9C">
      <w:pPr>
        <w:numPr>
          <w:ilvl w:val="0"/>
          <w:numId w:val="17"/>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Justificare şi corelare cu analiza SWOT</w:t>
      </w:r>
    </w:p>
    <w:p w14:paraId="643A15DD"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Analizând situaţia existentă se poate constata că în zona GAL „Câmpia Burnazului” există mai multe produse speciale, precum şi cunoştinţe locale (local knowledge), dar care sunt utilizate la nivelul familiilor. Pentru producţia produselor speciale locale este nevoie de furnizori de materii prime de bună calitate, care folosesc proceduri uniforme şi care folosesc sisteme de calitate alimentară. Unul din punctele slabe identificate în cadrul analizei SWOT este lipsa implementării schemelor de calitate în ceea ce priveşte produsele agricole şi alimentare.</w:t>
      </w:r>
    </w:p>
    <w:p w14:paraId="2365AC02"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xml:space="preserve">Introducerea schemelor de calitate reprezintă o modalitate de recunoaştere a calităţii produselor agro-alimentare care au o caracteristică senzorială influenţată de aria geografică. Produsele locale tradiţionale au nevoie de o promovare susţinută pentru a deveni cunoscute şi pentru a cuceri pieţe de desfacere, de aceea o astfel de măsură este necesară pe lângă cele care stimulează producţia. </w:t>
      </w:r>
    </w:p>
    <w:p w14:paraId="0E8491B6"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Măsură contribuie la creşterea gradului de valorificare economică a produselor alimentare tradiţionale, ca element important la dezvoltarea economică durabilă, prin îmbunătăţirea cooperării între factorii de susţinere a micilor fermieri din zonă. Măsura urmărește promovarea printre producători de acțiuni premergătoare aderării la schemele de calitate pentru produsele agricole si agroalimentare. Producătorii din teritoriul GAL nu sunt suficient de informați pentru a întelege ce presupune o schemă de calitate și care sunt pașii de urmat în vederea aderării la schemă, care sunt avantajele, condițiile de îndeplinit și obligațiile în vederea menținerii standardelor.</w:t>
      </w:r>
    </w:p>
    <w:p w14:paraId="0ED6A373" w14:textId="77777777" w:rsidR="00E1333F" w:rsidRPr="003C0A9C" w:rsidRDefault="00E1333F" w:rsidP="003C0A9C">
      <w:pPr>
        <w:numPr>
          <w:ilvl w:val="0"/>
          <w:numId w:val="17"/>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 xml:space="preserve">Obiectiv(e) de dezvoltare rurală </w:t>
      </w:r>
    </w:p>
    <w:p w14:paraId="5B492C52"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xml:space="preserve">Măsură contribuie la următoarele obiective de dezvoltare rurală al Reg(UE) nr. 1305/2013: favorizarea competitivităţii agriculturii; asigurarea gestionării durabile a resurselor naturale şi combaterea schimbărilor climatice; obţinerea unei dezvoltări teritoriale echilibrate a economiilor şi comunităţilor rurale, inclusiv crearea şi menţinerea de locuri de muncă. </w:t>
      </w:r>
    </w:p>
    <w:p w14:paraId="213632D0" w14:textId="77777777" w:rsidR="00E1333F" w:rsidRPr="003C0A9C" w:rsidRDefault="00E1333F" w:rsidP="003C0A9C">
      <w:pPr>
        <w:numPr>
          <w:ilvl w:val="0"/>
          <w:numId w:val="17"/>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Obiective specifice/locale ale măsurii</w:t>
      </w:r>
    </w:p>
    <w:p w14:paraId="3748140E" w14:textId="77777777" w:rsidR="00E1333F" w:rsidRPr="003C0A9C" w:rsidRDefault="00E1333F" w:rsidP="003C0A9C">
      <w:pPr>
        <w:tabs>
          <w:tab w:val="left" w:pos="360"/>
        </w:tabs>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Sprijinirea introducerii şi aplicării schemelor de calitate pentru produsele agricole şi agroalimentare din teritoriul GAL „Câmpia Burnazului”;</w:t>
      </w:r>
    </w:p>
    <w:p w14:paraId="6336234B" w14:textId="77777777" w:rsidR="00E1333F" w:rsidRPr="003C0A9C" w:rsidRDefault="00E1333F" w:rsidP="003C0A9C">
      <w:pPr>
        <w:numPr>
          <w:ilvl w:val="0"/>
          <w:numId w:val="17"/>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Contribuţie la prioritatea/priorităţile prevăzute în art. 5, Reg. (UE) nr. 1305/2013</w:t>
      </w:r>
    </w:p>
    <w:p w14:paraId="2EF4D5A7"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lang w:val="ro-RO" w:eastAsia="en-US"/>
        </w:rPr>
        <w:t xml:space="preserve">Măsura contribuie la </w:t>
      </w:r>
      <w:r w:rsidRPr="003C0A9C">
        <w:rPr>
          <w:rFonts w:ascii="Cambria" w:eastAsia="Calibri" w:hAnsi="Cambria" w:cs="Trebuchet MS"/>
          <w:b/>
          <w:bCs/>
          <w:lang w:val="ro-RO" w:eastAsia="en-US"/>
        </w:rPr>
        <w:t xml:space="preserve">Prioritatea 3:  Promovarea organizării lanţului alimentar, inclusiv procesarea şi comercializarea produselor agricole, a bunăstării animalelor şi a gestionării riscurilor </w:t>
      </w:r>
      <w:r w:rsidRPr="003C0A9C">
        <w:rPr>
          <w:rFonts w:ascii="Cambria" w:eastAsia="Calibri" w:hAnsi="Cambria" w:cs="Calibri"/>
          <w:b/>
          <w:lang w:val="ro-RO" w:eastAsia="en-US"/>
        </w:rPr>
        <w:t>î</w:t>
      </w:r>
      <w:r w:rsidRPr="003C0A9C">
        <w:rPr>
          <w:rFonts w:ascii="Cambria" w:eastAsia="Calibri" w:hAnsi="Cambria" w:cs="Trebuchet MS"/>
          <w:b/>
          <w:bCs/>
          <w:lang w:val="ro-RO" w:eastAsia="en-US"/>
        </w:rPr>
        <w:t>n agricultură.</w:t>
      </w:r>
    </w:p>
    <w:p w14:paraId="01B5469B" w14:textId="3A1530F1" w:rsidR="00E1333F" w:rsidRPr="003C0A9C" w:rsidRDefault="00E1333F" w:rsidP="003C0A9C">
      <w:pPr>
        <w:numPr>
          <w:ilvl w:val="0"/>
          <w:numId w:val="17"/>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b/>
          <w:bCs/>
          <w:lang w:val="ro-RO" w:eastAsia="en-US"/>
        </w:rPr>
        <w:t xml:space="preserve">Măsura corespunde obiectivelor art. </w:t>
      </w:r>
      <w:r w:rsidR="00BD16BE" w:rsidRPr="003C0A9C">
        <w:rPr>
          <w:rFonts w:ascii="Cambria" w:eastAsia="Calibri" w:hAnsi="Cambria" w:cs="Trebuchet MS"/>
          <w:b/>
          <w:bCs/>
          <w:lang w:val="ro-RO" w:eastAsia="en-US"/>
        </w:rPr>
        <w:t>5</w:t>
      </w:r>
      <w:r w:rsidRPr="003C0A9C">
        <w:rPr>
          <w:rFonts w:ascii="Cambria" w:eastAsia="Calibri" w:hAnsi="Cambria" w:cs="Trebuchet MS"/>
          <w:b/>
          <w:bCs/>
          <w:lang w:val="ro-RO" w:eastAsia="en-US"/>
        </w:rPr>
        <w:t xml:space="preserve"> din Reg. (UE) 1305/2013</w:t>
      </w:r>
      <w:r w:rsidRPr="003C0A9C">
        <w:rPr>
          <w:rFonts w:ascii="Cambria" w:eastAsia="Calibri" w:hAnsi="Cambria" w:cs="Trebuchet MS"/>
          <w:lang w:val="ro-RO" w:eastAsia="en-US"/>
        </w:rPr>
        <w:t>.</w:t>
      </w:r>
    </w:p>
    <w:p w14:paraId="2262611B" w14:textId="77777777" w:rsidR="00E1333F" w:rsidRPr="003C0A9C" w:rsidRDefault="00E1333F" w:rsidP="003C0A9C">
      <w:pPr>
        <w:numPr>
          <w:ilvl w:val="0"/>
          <w:numId w:val="17"/>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Contribuţie la Domeniul de intervenţie</w:t>
      </w:r>
    </w:p>
    <w:p w14:paraId="33341683" w14:textId="77777777" w:rsidR="00E1333F" w:rsidRPr="003C0A9C" w:rsidRDefault="00E1333F" w:rsidP="003C0A9C">
      <w:pPr>
        <w:tabs>
          <w:tab w:val="left" w:pos="285"/>
        </w:tabs>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lastRenderedPageBreak/>
        <w:t>Măsură contribuie la următorul domeniu de intervenţie</w:t>
      </w:r>
      <w:r w:rsidRPr="003C0A9C">
        <w:rPr>
          <w:rFonts w:ascii="Cambria" w:eastAsia="Calibri" w:hAnsi="Cambria" w:cs="Trebuchet MS"/>
          <w:b/>
          <w:bCs/>
          <w:lang w:val="ro-RO" w:eastAsia="en-US"/>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de producători și al organizațiilor interprofesionale</w:t>
      </w:r>
      <w:r w:rsidRPr="003C0A9C">
        <w:rPr>
          <w:rFonts w:ascii="Cambria" w:eastAsia="Calibri" w:hAnsi="Cambria" w:cs="Trebuchet MS"/>
          <w:lang w:val="ro-RO" w:eastAsia="en-US"/>
        </w:rPr>
        <w:t>.</w:t>
      </w:r>
    </w:p>
    <w:p w14:paraId="705077ED" w14:textId="77777777" w:rsidR="00E1333F" w:rsidRPr="003C0A9C" w:rsidRDefault="00E1333F" w:rsidP="003C0A9C">
      <w:pPr>
        <w:numPr>
          <w:ilvl w:val="0"/>
          <w:numId w:val="18"/>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Contribuţie la obiective transversale ale Reg. (UE) nr. 1305/2013</w:t>
      </w:r>
    </w:p>
    <w:p w14:paraId="5A15C538"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Măsura contribuie la obiectivele transversale legate de inovare, de protecția mediului și de atenuarea schimbărilor climatice și de adaptarea la acestea, astfel:</w:t>
      </w:r>
    </w:p>
    <w:p w14:paraId="103BD495"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 xml:space="preserve">Inovare: </w:t>
      </w:r>
    </w:p>
    <w:p w14:paraId="6257066F"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Inovarea consta în faptul că prin acesta măsură sunt încurajate dezvoltarea unor servicii care nu au mai fost implementate în teri</w:t>
      </w:r>
      <w:r w:rsidR="00E120DF" w:rsidRPr="003C0A9C">
        <w:rPr>
          <w:rFonts w:ascii="Cambria" w:eastAsia="Calibri" w:hAnsi="Cambria" w:cs="Trebuchet MS"/>
          <w:lang w:val="ro-RO" w:eastAsia="en-US"/>
        </w:rPr>
        <w:t>toriul GAL „Câmpia Burnazului”</w:t>
      </w:r>
      <w:r w:rsidRPr="003C0A9C">
        <w:rPr>
          <w:rFonts w:ascii="Cambria" w:eastAsia="Calibri" w:hAnsi="Cambria" w:cs="Trebuchet MS"/>
          <w:lang w:val="ro-RO" w:eastAsia="en-US"/>
        </w:rPr>
        <w:t>.</w:t>
      </w:r>
    </w:p>
    <w:p w14:paraId="3F9EB3E7"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 xml:space="preserve">Mediu şi atenuarea şi adaptarea la schimbările climatice: </w:t>
      </w:r>
    </w:p>
    <w:p w14:paraId="46688E1E"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Investițiile vor viza reducerea amprentei asupra mediului prin încurajarea produselor ecologice.</w:t>
      </w:r>
    </w:p>
    <w:p w14:paraId="3420EFA3" w14:textId="77777777" w:rsidR="00E1333F" w:rsidRPr="003C0A9C" w:rsidRDefault="00E1333F" w:rsidP="003C0A9C">
      <w:pPr>
        <w:numPr>
          <w:ilvl w:val="0"/>
          <w:numId w:val="21"/>
        </w:num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Sinergia cu alte măsuri din SDL</w:t>
      </w:r>
    </w:p>
    <w:p w14:paraId="6E9618C7"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Măsura M5/3A este în sinergie cu măsura M3/3A, ambele contribuind la aceeaşi prioritate, P3.</w:t>
      </w:r>
    </w:p>
    <w:p w14:paraId="0F417EF6"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2.Valoarea adăugată a măsurii</w:t>
      </w:r>
    </w:p>
    <w:p w14:paraId="5EB04FCC"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Calitatea şi diversitatea producţiei agricole din teritoriul GAL reprezintă unul dintre punctele forte ale dezvoltării teritoriului, reprezentând un avantaj concurenţial pentru producători şi contribuind în mod semnificativ la patrimoniul cultural şi gastronomic actual. Cetăţenii şi consumatorii solicită din ce în ce mai frecvent atât produse de calitate, cât şi produse tradiţionale, fiind preocupaţi, de asemenea, de menţinerea diversităţii producţiei agricole. Această situaţie generează o cerere de produse agricole sau alimentare cu anumite caracteristici identificabile, în special în ceea ce priveşte tradiționaltatea și originea geografică a acestora, legătura strânsă cu teritoriul de proveniență. Producătorii pot continua să ofere o gamă diversificată de produse de calitate numai dacă sunt răsplătiţi în mod corespunzător pentru eforturile depuse. Aceasta presupune că ei să aibă capacitatea de a informa cumpărătorii şi consumatorii în privinţa caracteristicilor propriilor produse în condiţii de concurenţă loială şi să îşi poată identifica în mod corect produsele pe piaţă.</w:t>
      </w:r>
    </w:p>
    <w:p w14:paraId="2CF23A4C"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Folosirea unor sisteme de calitate  de către  producători prin care aceştia să fie recompensaţi pentru eforturile lor de a produce o gamă diversificată de produse de calitate poate fi benefică pentru economia rurală. Politica în domeniul calităţii produselor agricole trebuie să ofere producătorilor instrumentele corespunzătoare de identificare şi promovare a acelor produse care au caracteristici specifice, protejând în acelaşi timp producătorii respectivi împotriva practicilor neloiale.</w:t>
      </w:r>
    </w:p>
    <w:p w14:paraId="63B352BE"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3.Trimiteri la alte acte legislative</w:t>
      </w:r>
    </w:p>
    <w:p w14:paraId="717A3AC2"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R (UE) Nr. 1303/2013; R (UE) Nr. 1307/2013; Reg. (UE) 1151/2012, Reg. (CE) 834/2007, Reg. (CE) 110/2008, Reg. (CEE) 1601/91, Reg. (UE) 1308/2013.</w:t>
      </w:r>
    </w:p>
    <w:p w14:paraId="792D085A"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4.Beneficiari direcţi/indirecţi (grup ţintă)</w:t>
      </w:r>
    </w:p>
    <w:p w14:paraId="4FA669D8" w14:textId="77777777" w:rsidR="00E1333F" w:rsidRPr="003C0A9C" w:rsidRDefault="00E1333F" w:rsidP="003C0A9C">
      <w:pPr>
        <w:autoSpaceDE w:val="0"/>
        <w:autoSpaceDN w:val="0"/>
        <w:adjustRightInd w:val="0"/>
        <w:spacing w:after="0"/>
        <w:jc w:val="both"/>
        <w:rPr>
          <w:rFonts w:ascii="Cambria" w:eastAsia="Calibri" w:hAnsi="Cambria" w:cs="Calibri"/>
          <w:lang w:val="ro-RO" w:eastAsia="en-US"/>
        </w:rPr>
      </w:pPr>
      <w:r w:rsidRPr="003C0A9C">
        <w:rPr>
          <w:rFonts w:ascii="Cambria" w:eastAsia="Calibri" w:hAnsi="Cambria" w:cs="Trebuchet MS"/>
          <w:u w:val="single"/>
          <w:lang w:val="ro-RO" w:eastAsia="en-US"/>
        </w:rPr>
        <w:t>Beneficiari direcţi:</w:t>
      </w:r>
      <w:r w:rsidRPr="003C0A9C">
        <w:rPr>
          <w:rFonts w:ascii="Cambria" w:eastAsia="Calibri" w:hAnsi="Cambria" w:cs="Trebuchet MS"/>
          <w:lang w:val="ro-RO" w:eastAsia="en-US"/>
        </w:rPr>
        <w:t xml:space="preserve"> întreprinderi care se încadrează în definiția IMM-urilor si ONG-uri care au ca domeniu de activitate, activitatea pentru care se solicită finanțarea</w:t>
      </w:r>
      <w:r w:rsidRPr="003C0A9C">
        <w:rPr>
          <w:rFonts w:ascii="Cambria" w:eastAsia="Calibri" w:hAnsi="Cambria" w:cs="Calibri"/>
          <w:lang w:val="ro-RO" w:eastAsia="en-US"/>
        </w:rPr>
        <w:t>.</w:t>
      </w:r>
    </w:p>
    <w:p w14:paraId="3E3754C4"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u w:val="single"/>
          <w:lang w:val="ro-RO" w:eastAsia="en-US"/>
        </w:rPr>
        <w:t>Beneficiari indirecţi:</w:t>
      </w:r>
      <w:r w:rsidRPr="003C0A9C">
        <w:rPr>
          <w:rFonts w:ascii="Cambria" w:eastAsia="Calibri" w:hAnsi="Cambria" w:cs="Trebuchet MS"/>
          <w:lang w:val="ro-RO" w:eastAsia="en-US"/>
        </w:rPr>
        <w:t xml:space="preserve"> fermieri din teritoriul GAL cu potențial de aderare la o schemă de calitate.</w:t>
      </w:r>
    </w:p>
    <w:p w14:paraId="6BBBC01D"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5.Tip de sprijin</w:t>
      </w:r>
    </w:p>
    <w:p w14:paraId="1CC5FB5E"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xml:space="preserve">Rambursarea costurilor eligibile suportate și plătite efectiv, în conformitate cu prevederile art. 67 al Reg. (UE) nr. 1303/2013. </w:t>
      </w:r>
    </w:p>
    <w:p w14:paraId="72490F1A"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6.Tipuri de acţiuni eligibile şi neeligibile</w:t>
      </w:r>
    </w:p>
    <w:p w14:paraId="77D53CFF" w14:textId="77777777" w:rsidR="00B9256A" w:rsidRPr="003C0A9C" w:rsidRDefault="00E1333F" w:rsidP="003C0A9C">
      <w:pPr>
        <w:autoSpaceDE w:val="0"/>
        <w:autoSpaceDN w:val="0"/>
        <w:adjustRightInd w:val="0"/>
        <w:spacing w:after="0"/>
        <w:jc w:val="both"/>
        <w:rPr>
          <w:rFonts w:ascii="Cambria" w:eastAsia="Calibri" w:hAnsi="Cambria" w:cs="Trebuchet MS"/>
          <w:u w:val="single"/>
          <w:lang w:val="ro-RO" w:eastAsia="en-US"/>
        </w:rPr>
      </w:pPr>
      <w:r w:rsidRPr="003C0A9C">
        <w:rPr>
          <w:rFonts w:ascii="Cambria" w:eastAsia="Calibri" w:hAnsi="Cambria" w:cs="Trebuchet MS"/>
          <w:u w:val="single"/>
          <w:lang w:val="ro-RO" w:eastAsia="en-US"/>
        </w:rPr>
        <w:t xml:space="preserve">Tipuri de acţiuni eligibile aferente acestei măsuri sunt activități premergătoare aderării la o schemă de calitate europeană sau națională cum ar fi: întocmirea și/sau depunerea dosarelor de </w:t>
      </w:r>
      <w:r w:rsidRPr="003C0A9C">
        <w:rPr>
          <w:rFonts w:ascii="Cambria" w:eastAsia="Calibri" w:hAnsi="Cambria" w:cs="Trebuchet MS"/>
          <w:u w:val="single"/>
          <w:lang w:val="ro-RO" w:eastAsia="en-US"/>
        </w:rPr>
        <w:lastRenderedPageBreak/>
        <w:t>aplicație sau acțiuni conexe acestei activități, animare, organizare întâlniri, culegere informații/ date, elaborarea documentelor etc.</w:t>
      </w:r>
    </w:p>
    <w:p w14:paraId="4A91F9D9"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7.Condiţii de eligibilitate</w:t>
      </w:r>
    </w:p>
    <w:p w14:paraId="5D2AD35F" w14:textId="77777777" w:rsidR="00E1333F" w:rsidRPr="003C0A9C" w:rsidRDefault="00E1333F" w:rsidP="003C0A9C">
      <w:pPr>
        <w:numPr>
          <w:ilvl w:val="0"/>
          <w:numId w:val="16"/>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xml:space="preserve">Solicitantul trebuie să se încadreze în categoria beneficiarilor eligibili; </w:t>
      </w:r>
    </w:p>
    <w:p w14:paraId="4EFBBFAC" w14:textId="77777777" w:rsidR="00E1333F" w:rsidRPr="003C0A9C" w:rsidRDefault="00E1333F" w:rsidP="003C0A9C">
      <w:pPr>
        <w:numPr>
          <w:ilvl w:val="0"/>
          <w:numId w:val="16"/>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xml:space="preserve">Solicitantul nu este în stare de faliment ori lichidare; </w:t>
      </w:r>
    </w:p>
    <w:p w14:paraId="2AF5135C" w14:textId="77777777" w:rsidR="00E1333F" w:rsidRPr="003C0A9C" w:rsidRDefault="00E1333F" w:rsidP="003C0A9C">
      <w:pPr>
        <w:numPr>
          <w:ilvl w:val="0"/>
          <w:numId w:val="16"/>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În Cererea de finanțare solicitantul demonstrează prin activitățile propuse și resursele umane alocate pentru realizarea acestora, oportunitatea și necesitatea proiectului;</w:t>
      </w:r>
    </w:p>
    <w:p w14:paraId="16F47D27" w14:textId="77777777" w:rsidR="00E1333F" w:rsidRPr="003C0A9C" w:rsidRDefault="00E1333F" w:rsidP="003C0A9C">
      <w:pPr>
        <w:numPr>
          <w:ilvl w:val="0"/>
          <w:numId w:val="16"/>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Solicitantul are prevăzut în obiectul de activitate activități specifice domeniului;</w:t>
      </w:r>
    </w:p>
    <w:p w14:paraId="3C71F4A5" w14:textId="77777777" w:rsidR="00E1333F" w:rsidRPr="003C0A9C" w:rsidRDefault="00E1333F" w:rsidP="003C0A9C">
      <w:pPr>
        <w:numPr>
          <w:ilvl w:val="0"/>
          <w:numId w:val="16"/>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Solicitantul dispune de capacitate tehnică și financiară necesare derulării activităților specifice;</w:t>
      </w:r>
    </w:p>
    <w:p w14:paraId="7AC32F9C" w14:textId="77777777" w:rsidR="00E1333F" w:rsidRPr="003C0A9C" w:rsidRDefault="00E1333F" w:rsidP="003C0A9C">
      <w:pPr>
        <w:numPr>
          <w:ilvl w:val="0"/>
          <w:numId w:val="16"/>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Solicitantul dispune de personal calificat, propriu sau cooptat în domeniu;</w:t>
      </w:r>
    </w:p>
    <w:p w14:paraId="2D06736D" w14:textId="77777777" w:rsidR="00E1333F" w:rsidRPr="003C0A9C" w:rsidRDefault="00E1333F" w:rsidP="003C0A9C">
      <w:pPr>
        <w:numPr>
          <w:ilvl w:val="0"/>
          <w:numId w:val="16"/>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Grupul țintă respectă condițiile de eligibilitate și este format din persoane care își desfășoară activitatea sau au domiciliul pe teritoriul GAL;</w:t>
      </w:r>
    </w:p>
    <w:p w14:paraId="6B86EAE5"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8.Criterii de selecţie</w:t>
      </w:r>
    </w:p>
    <w:p w14:paraId="31EE4C47"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Mărimea grupului țintă;</w:t>
      </w:r>
    </w:p>
    <w:p w14:paraId="1DF107A7"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Persoanele ce formează grupul țintă provin din mai multe UAT-uri de pe teritoriul GAL;</w:t>
      </w:r>
    </w:p>
    <w:p w14:paraId="42BF4C90"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 Proiecte care au în vedere includerea mai multor acțiuni eligibile.</w:t>
      </w:r>
    </w:p>
    <w:p w14:paraId="3FE9014F"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9.Sume (aplicabile) şi rata sprijinului</w:t>
      </w:r>
    </w:p>
    <w:p w14:paraId="68E41B19"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Sprijinul public nerambursabil acordat este de 100% din cuantumul sprijinului.</w:t>
      </w:r>
    </w:p>
    <w:p w14:paraId="11F08166" w14:textId="77777777" w:rsidR="00E1333F" w:rsidRPr="003C0A9C" w:rsidRDefault="00E1333F" w:rsidP="003C0A9C">
      <w:p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Valoarea sprijinului public nerambursabil este de maxim 6.000,00 euro.</w:t>
      </w:r>
    </w:p>
    <w:p w14:paraId="52A0EE6F" w14:textId="77777777" w:rsidR="00E1333F" w:rsidRPr="003C0A9C" w:rsidRDefault="00E1333F" w:rsidP="003C0A9C">
      <w:pPr>
        <w:autoSpaceDE w:val="0"/>
        <w:autoSpaceDN w:val="0"/>
        <w:adjustRightInd w:val="0"/>
        <w:spacing w:after="0"/>
        <w:jc w:val="both"/>
        <w:rPr>
          <w:rFonts w:ascii="Cambria" w:eastAsia="Calibri" w:hAnsi="Cambria" w:cs="Trebuchet MS"/>
          <w:b/>
          <w:bCs/>
          <w:lang w:val="ro-RO" w:eastAsia="en-US"/>
        </w:rPr>
      </w:pPr>
      <w:r w:rsidRPr="003C0A9C">
        <w:rPr>
          <w:rFonts w:ascii="Cambria" w:eastAsia="Calibri" w:hAnsi="Cambria" w:cs="Trebuchet MS"/>
          <w:b/>
          <w:bCs/>
          <w:lang w:val="ro-RO" w:eastAsia="en-US"/>
        </w:rPr>
        <w:t>10.Indicatori de monitorizare</w:t>
      </w:r>
    </w:p>
    <w:p w14:paraId="02E80400" w14:textId="77777777" w:rsidR="00E1333F" w:rsidRPr="003C0A9C" w:rsidRDefault="00E1333F" w:rsidP="003C0A9C">
      <w:pPr>
        <w:numPr>
          <w:ilvl w:val="0"/>
          <w:numId w:val="20"/>
        </w:numPr>
        <w:autoSpaceDE w:val="0"/>
        <w:autoSpaceDN w:val="0"/>
        <w:adjustRightInd w:val="0"/>
        <w:spacing w:after="0"/>
        <w:jc w:val="both"/>
        <w:rPr>
          <w:rFonts w:ascii="Cambria" w:eastAsia="Calibri" w:hAnsi="Cambria" w:cs="Trebuchet MS"/>
          <w:lang w:val="ro-RO" w:eastAsia="en-US"/>
        </w:rPr>
      </w:pPr>
      <w:r w:rsidRPr="003C0A9C">
        <w:rPr>
          <w:rFonts w:ascii="Cambria" w:eastAsia="Calibri" w:hAnsi="Cambria" w:cs="Trebuchet MS"/>
          <w:lang w:val="ro-RO" w:eastAsia="en-US"/>
        </w:rPr>
        <w:t>Numărul de exploatații agricole care primesc sprijin pentru participarea la sistemele de calitate, la piețele locale și la circuitele de aprovizionare scurte, precum și la grupuri/organizații de producători: 2</w:t>
      </w:r>
    </w:p>
    <w:sectPr w:rsidR="00E1333F" w:rsidRPr="003C0A9C" w:rsidSect="00050E3E">
      <w:pgSz w:w="11906" w:h="16838"/>
      <w:pgMar w:top="1440" w:right="1440" w:bottom="1440" w:left="1440" w:header="567" w:footer="56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14E7"/>
    <w:multiLevelType w:val="multilevel"/>
    <w:tmpl w:val="59362960"/>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4D4FDDA"/>
    <w:multiLevelType w:val="multilevel"/>
    <w:tmpl w:val="32142BF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2089F597"/>
    <w:multiLevelType w:val="multilevel"/>
    <w:tmpl w:val="4CE59650"/>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3" w15:restartNumberingAfterBreak="0">
    <w:nsid w:val="273D3261"/>
    <w:multiLevelType w:val="multilevel"/>
    <w:tmpl w:val="46A7D412"/>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15:restartNumberingAfterBreak="0">
    <w:nsid w:val="2873DF16"/>
    <w:multiLevelType w:val="multilevel"/>
    <w:tmpl w:val="59A1E903"/>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15:restartNumberingAfterBreak="0">
    <w:nsid w:val="29D5E1D8"/>
    <w:multiLevelType w:val="multilevel"/>
    <w:tmpl w:val="12CB6E5E"/>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15:restartNumberingAfterBreak="0">
    <w:nsid w:val="2D646B39"/>
    <w:multiLevelType w:val="multilevel"/>
    <w:tmpl w:val="1406190B"/>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446E4B36"/>
    <w:multiLevelType w:val="multilevel"/>
    <w:tmpl w:val="15FF7EA4"/>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47E24465"/>
    <w:multiLevelType w:val="multilevel"/>
    <w:tmpl w:val="31E5E147"/>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9" w15:restartNumberingAfterBreak="0">
    <w:nsid w:val="4BDB8CAA"/>
    <w:multiLevelType w:val="multilevel"/>
    <w:tmpl w:val="423D0887"/>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0" w15:restartNumberingAfterBreak="0">
    <w:nsid w:val="5377524A"/>
    <w:multiLevelType w:val="hybridMultilevel"/>
    <w:tmpl w:val="BADE84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E3833"/>
    <w:multiLevelType w:val="multilevel"/>
    <w:tmpl w:val="70694D3C"/>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580ADFF8"/>
    <w:multiLevelType w:val="multilevel"/>
    <w:tmpl w:val="E202022A"/>
    <w:lvl w:ilvl="0">
      <w:start w:val="1"/>
      <w:numFmt w:val="decimal"/>
      <w:lvlText w:val="%1."/>
      <w:lvlJc w:val="left"/>
      <w:pPr>
        <w:tabs>
          <w:tab w:val="num" w:pos="360"/>
        </w:tabs>
      </w:pPr>
      <w:rPr>
        <w:rFonts w:ascii="Trebuchet MS" w:hAnsi="Trebuchet MS"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5C1F5A05"/>
    <w:multiLevelType w:val="hybridMultilevel"/>
    <w:tmpl w:val="6F1C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00953"/>
    <w:multiLevelType w:val="multilevel"/>
    <w:tmpl w:val="1B7AC3DD"/>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15:restartNumberingAfterBreak="0">
    <w:nsid w:val="70AB9DBD"/>
    <w:multiLevelType w:val="multilevel"/>
    <w:tmpl w:val="27EC2CBF"/>
    <w:lvl w:ilvl="0">
      <w:numFmt w:val="bullet"/>
      <w:lvlText w:val="ü"/>
      <w:lvlJc w:val="left"/>
      <w:pPr>
        <w:tabs>
          <w:tab w:val="num" w:pos="720"/>
        </w:tabs>
        <w:ind w:left="720" w:hanging="360"/>
      </w:pPr>
      <w:rPr>
        <w:rFonts w:ascii="Wingdings" w:hAnsi="Wingdings" w:cs="Wingding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71877D94"/>
    <w:multiLevelType w:val="multilevel"/>
    <w:tmpl w:val="753C83E9"/>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15:restartNumberingAfterBreak="0">
    <w:nsid w:val="74F81D23"/>
    <w:multiLevelType w:val="hybridMultilevel"/>
    <w:tmpl w:val="F36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5CAAC"/>
    <w:multiLevelType w:val="multilevel"/>
    <w:tmpl w:val="54100021"/>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15:restartNumberingAfterBreak="0">
    <w:nsid w:val="7CF7606F"/>
    <w:multiLevelType w:val="multilevel"/>
    <w:tmpl w:val="2F49E54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15:restartNumberingAfterBreak="0">
    <w:nsid w:val="7F2B8374"/>
    <w:multiLevelType w:val="multilevel"/>
    <w:tmpl w:val="F84ADF8A"/>
    <w:lvl w:ilvl="0">
      <w:start w:val="1"/>
      <w:numFmt w:val="decimal"/>
      <w:lvlText w:val="%1."/>
      <w:lvlJc w:val="left"/>
      <w:pPr>
        <w:tabs>
          <w:tab w:val="num" w:pos="720"/>
        </w:tabs>
        <w:ind w:firstLine="360"/>
      </w:pPr>
      <w:rPr>
        <w:rFonts w:ascii="Trebuchet MS" w:hAnsi="Trebuchet MS"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451366888">
    <w:abstractNumId w:val="6"/>
  </w:num>
  <w:num w:numId="2" w16cid:durableId="1706710216">
    <w:abstractNumId w:val="18"/>
  </w:num>
  <w:num w:numId="3" w16cid:durableId="1549298341">
    <w:abstractNumId w:val="0"/>
  </w:num>
  <w:num w:numId="4" w16cid:durableId="518742515">
    <w:abstractNumId w:val="9"/>
  </w:num>
  <w:num w:numId="5" w16cid:durableId="817651161">
    <w:abstractNumId w:val="17"/>
  </w:num>
  <w:num w:numId="6" w16cid:durableId="1510410851">
    <w:abstractNumId w:val="13"/>
  </w:num>
  <w:num w:numId="7" w16cid:durableId="819615494">
    <w:abstractNumId w:val="2"/>
  </w:num>
  <w:num w:numId="8" w16cid:durableId="1655449022">
    <w:abstractNumId w:val="1"/>
  </w:num>
  <w:num w:numId="9" w16cid:durableId="1944608091">
    <w:abstractNumId w:val="8"/>
  </w:num>
  <w:num w:numId="10" w16cid:durableId="2093425477">
    <w:abstractNumId w:val="12"/>
  </w:num>
  <w:num w:numId="11" w16cid:durableId="1433747728">
    <w:abstractNumId w:val="14"/>
  </w:num>
  <w:num w:numId="12" w16cid:durableId="925117902">
    <w:abstractNumId w:val="7"/>
  </w:num>
  <w:num w:numId="13" w16cid:durableId="236867471">
    <w:abstractNumId w:val="3"/>
  </w:num>
  <w:num w:numId="14" w16cid:durableId="90008698">
    <w:abstractNumId w:val="16"/>
  </w:num>
  <w:num w:numId="15" w16cid:durableId="676273600">
    <w:abstractNumId w:val="10"/>
  </w:num>
  <w:num w:numId="16" w16cid:durableId="2135560163">
    <w:abstractNumId w:val="5"/>
  </w:num>
  <w:num w:numId="17" w16cid:durableId="394737725">
    <w:abstractNumId w:val="11"/>
  </w:num>
  <w:num w:numId="18" w16cid:durableId="986394872">
    <w:abstractNumId w:val="4"/>
  </w:num>
  <w:num w:numId="19" w16cid:durableId="337775666">
    <w:abstractNumId w:val="20"/>
  </w:num>
  <w:num w:numId="20" w16cid:durableId="1729524085">
    <w:abstractNumId w:val="19"/>
  </w:num>
  <w:num w:numId="21" w16cid:durableId="771364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5E"/>
    <w:rsid w:val="00001408"/>
    <w:rsid w:val="00050E3E"/>
    <w:rsid w:val="000E2B17"/>
    <w:rsid w:val="001A085E"/>
    <w:rsid w:val="002364D7"/>
    <w:rsid w:val="00300116"/>
    <w:rsid w:val="003C0A9C"/>
    <w:rsid w:val="003F59CD"/>
    <w:rsid w:val="00420C88"/>
    <w:rsid w:val="00452960"/>
    <w:rsid w:val="00461EAA"/>
    <w:rsid w:val="004710EA"/>
    <w:rsid w:val="004B7C5F"/>
    <w:rsid w:val="005079CF"/>
    <w:rsid w:val="00551333"/>
    <w:rsid w:val="005E32F6"/>
    <w:rsid w:val="00870574"/>
    <w:rsid w:val="008A686E"/>
    <w:rsid w:val="008D1694"/>
    <w:rsid w:val="00952CA6"/>
    <w:rsid w:val="00A964B0"/>
    <w:rsid w:val="00AF7E58"/>
    <w:rsid w:val="00B259B5"/>
    <w:rsid w:val="00B37DB7"/>
    <w:rsid w:val="00B9256A"/>
    <w:rsid w:val="00BD16BE"/>
    <w:rsid w:val="00C762F1"/>
    <w:rsid w:val="00CE0616"/>
    <w:rsid w:val="00D21569"/>
    <w:rsid w:val="00D46229"/>
    <w:rsid w:val="00D7797B"/>
    <w:rsid w:val="00DC66AA"/>
    <w:rsid w:val="00E120DF"/>
    <w:rsid w:val="00E13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23D4"/>
  <w15:chartTrackingRefBased/>
  <w15:docId w15:val="{79A17D73-1C80-4AE4-B3BC-8CC42681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D7"/>
    <w:pPr>
      <w:spacing w:after="200" w:line="276" w:lineRule="auto"/>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ompletat">
    <w:name w:val="De completat"/>
    <w:basedOn w:val="Normal"/>
    <w:link w:val="DecompletatChar"/>
    <w:qFormat/>
    <w:rsid w:val="00300116"/>
    <w:pPr>
      <w:spacing w:after="0"/>
      <w:ind w:firstLine="709"/>
      <w:jc w:val="both"/>
    </w:pPr>
    <w:rPr>
      <w:rFonts w:ascii="Trebuchet MS" w:eastAsia="Calibri" w:hAnsi="Trebuchet MS"/>
      <w:i/>
      <w:color w:val="FF0000"/>
      <w:lang w:val="ro-RO" w:eastAsia="en-US"/>
    </w:rPr>
  </w:style>
  <w:style w:type="character" w:customStyle="1" w:styleId="DecompletatChar">
    <w:name w:val="De completat Char"/>
    <w:link w:val="Decompletat"/>
    <w:rsid w:val="00300116"/>
    <w:rPr>
      <w:rFonts w:ascii="Trebuchet MS" w:eastAsia="Calibri" w:hAnsi="Trebuchet MS" w:cs="Times New Roman"/>
      <w:i/>
      <w:color w:val="FF0000"/>
      <w:lang w:val="ro-RO"/>
    </w:rPr>
  </w:style>
  <w:style w:type="paragraph" w:styleId="ListParagraph">
    <w:name w:val="List Paragraph"/>
    <w:basedOn w:val="Normal"/>
    <w:uiPriority w:val="34"/>
    <w:qFormat/>
    <w:rsid w:val="00D21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Ghizdeanu</dc:creator>
  <cp:keywords/>
  <dc:description/>
  <cp:lastModifiedBy>Yasemin</cp:lastModifiedBy>
  <cp:revision>3</cp:revision>
  <dcterms:created xsi:type="dcterms:W3CDTF">2023-08-09T13:30:00Z</dcterms:created>
  <dcterms:modified xsi:type="dcterms:W3CDTF">2023-10-03T13:17:00Z</dcterms:modified>
</cp:coreProperties>
</file>