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439E" w14:textId="7DE1C09B" w:rsidR="006E1FE1" w:rsidRPr="006539BA" w:rsidRDefault="006E1FE1" w:rsidP="006F28CE">
      <w:pPr>
        <w:autoSpaceDE w:val="0"/>
        <w:autoSpaceDN w:val="0"/>
        <w:adjustRightInd w:val="0"/>
        <w:spacing w:after="0"/>
        <w:jc w:val="right"/>
        <w:rPr>
          <w:rFonts w:ascii="Cambria" w:hAnsi="Cambria" w:cstheme="minorHAnsi"/>
          <w:b/>
          <w:bCs/>
          <w:sz w:val="24"/>
          <w:szCs w:val="24"/>
          <w:lang w:val="ro-RO" w:eastAsia="en-US"/>
        </w:rPr>
      </w:pPr>
      <w:r w:rsidRPr="006539BA">
        <w:rPr>
          <w:rFonts w:ascii="Cambria" w:hAnsi="Cambria" w:cstheme="minorHAnsi"/>
          <w:b/>
          <w:bCs/>
          <w:sz w:val="24"/>
          <w:szCs w:val="24"/>
          <w:lang w:val="ro-RO"/>
        </w:rPr>
        <w:t xml:space="preserve">Anexa nr. </w:t>
      </w:r>
      <w:r w:rsidR="006E39F3">
        <w:rPr>
          <w:rFonts w:ascii="Cambria" w:hAnsi="Cambria" w:cstheme="minorHAnsi"/>
          <w:b/>
          <w:bCs/>
          <w:sz w:val="24"/>
          <w:szCs w:val="24"/>
          <w:lang w:val="ro-RO"/>
        </w:rPr>
        <w:t>2</w:t>
      </w:r>
    </w:p>
    <w:p w14:paraId="6915F0F8" w14:textId="77777777" w:rsidR="006E1FE1" w:rsidRPr="006539BA" w:rsidRDefault="006E1FE1" w:rsidP="006F28CE">
      <w:pPr>
        <w:autoSpaceDE w:val="0"/>
        <w:autoSpaceDN w:val="0"/>
        <w:adjustRightInd w:val="0"/>
        <w:spacing w:after="0"/>
        <w:jc w:val="both"/>
        <w:rPr>
          <w:rFonts w:ascii="Cambria" w:eastAsia="Calibri" w:hAnsi="Cambria" w:cstheme="minorHAnsi"/>
          <w:b/>
          <w:bCs/>
          <w:sz w:val="24"/>
          <w:szCs w:val="24"/>
          <w:lang w:val="ro-RO" w:eastAsia="en-US"/>
        </w:rPr>
      </w:pPr>
    </w:p>
    <w:p w14:paraId="09CA3B81" w14:textId="77777777"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Fişa măsurii: Formare profesională pentru îmbunătăţirea şi încurajarea afacerilor în sectorul agricol din teritoriul GAL „Câmpia Burnazului” </w:t>
      </w:r>
      <w:r w:rsidRPr="006539BA">
        <w:rPr>
          <w:rFonts w:ascii="Cambria" w:eastAsia="Calibri" w:hAnsi="Cambria" w:cs="Trebuchet MS"/>
          <w:sz w:val="24"/>
          <w:szCs w:val="24"/>
          <w:lang w:val="ro-RO" w:eastAsia="en-US"/>
        </w:rPr>
        <w:t xml:space="preserve">– </w:t>
      </w:r>
      <w:r w:rsidRPr="006539BA">
        <w:rPr>
          <w:rFonts w:ascii="Cambria" w:eastAsia="Calibri" w:hAnsi="Cambria" w:cs="Trebuchet MS"/>
          <w:b/>
          <w:bCs/>
          <w:sz w:val="24"/>
          <w:szCs w:val="24"/>
          <w:lang w:val="ro-RO" w:eastAsia="en-US"/>
        </w:rPr>
        <w:t>Codul măsurii – M1/1C</w:t>
      </w:r>
    </w:p>
    <w:p w14:paraId="2E597C70" w14:textId="77777777" w:rsidR="006F28CE" w:rsidRDefault="006F28CE" w:rsidP="006F28CE">
      <w:pPr>
        <w:autoSpaceDE w:val="0"/>
        <w:autoSpaceDN w:val="0"/>
        <w:adjustRightInd w:val="0"/>
        <w:spacing w:after="0"/>
        <w:jc w:val="both"/>
        <w:rPr>
          <w:rFonts w:ascii="Cambria" w:eastAsia="Calibri" w:hAnsi="Cambria" w:cs="Trebuchet MS"/>
          <w:b/>
          <w:bCs/>
          <w:sz w:val="24"/>
          <w:szCs w:val="24"/>
          <w:lang w:val="ro-RO" w:eastAsia="en-US"/>
        </w:rPr>
      </w:pPr>
    </w:p>
    <w:p w14:paraId="3A078D7C"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Tipul măsurii:</w:t>
      </w:r>
      <w:r w:rsidRPr="006539BA">
        <w:rPr>
          <w:rFonts w:ascii="Cambria" w:eastAsia="Calibri" w:hAnsi="Cambria" w:cs="Trebuchet MS"/>
          <w:sz w:val="24"/>
          <w:szCs w:val="24"/>
          <w:lang w:val="ro-RO" w:eastAsia="en-US"/>
        </w:rPr>
        <w:t xml:space="preserve"> </w:t>
      </w:r>
      <w:r w:rsidRPr="006539BA">
        <w:rPr>
          <w:rFonts w:ascii="Segoe UI Symbol" w:eastAsia="Calibri" w:hAnsi="Segoe UI Symbol" w:cs="Segoe UI Symbol"/>
          <w:sz w:val="24"/>
          <w:szCs w:val="24"/>
          <w:lang w:val="ro-RO" w:eastAsia="en-US"/>
        </w:rPr>
        <w:t>☐</w:t>
      </w:r>
      <w:r w:rsidRPr="006539BA">
        <w:rPr>
          <w:rFonts w:ascii="Cambria" w:eastAsia="Calibri" w:hAnsi="Cambria" w:cs="Trebuchet MS"/>
          <w:sz w:val="24"/>
          <w:szCs w:val="24"/>
          <w:lang w:val="ro-RO" w:eastAsia="en-US"/>
        </w:rPr>
        <w:t xml:space="preserve"> INVESTIȚII </w:t>
      </w:r>
    </w:p>
    <w:p w14:paraId="4ECB9BBF" w14:textId="77777777" w:rsidR="00ED7E62" w:rsidRPr="006539BA" w:rsidRDefault="00ED7E62" w:rsidP="006F28CE">
      <w:pPr>
        <w:autoSpaceDE w:val="0"/>
        <w:autoSpaceDN w:val="0"/>
        <w:adjustRightInd w:val="0"/>
        <w:spacing w:after="0"/>
        <w:ind w:left="705" w:firstLine="705"/>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    </w:t>
      </w:r>
      <w:r w:rsidRPr="006539BA">
        <w:rPr>
          <w:rFonts w:ascii="Segoe UI Symbol" w:eastAsia="Calibri" w:hAnsi="Segoe UI Symbol" w:cs="Segoe UI Symbol"/>
          <w:b/>
          <w:bCs/>
          <w:sz w:val="24"/>
          <w:szCs w:val="24"/>
          <w:lang w:val="ro-RO" w:eastAsia="en-US"/>
        </w:rPr>
        <w:t>☒</w:t>
      </w:r>
      <w:r w:rsidRPr="006539BA">
        <w:rPr>
          <w:rFonts w:ascii="Cambria" w:eastAsia="Calibri" w:hAnsi="Cambria" w:cs="Trebuchet MS"/>
          <w:b/>
          <w:bCs/>
          <w:sz w:val="24"/>
          <w:szCs w:val="24"/>
          <w:lang w:val="ro-RO" w:eastAsia="en-US"/>
        </w:rPr>
        <w:t xml:space="preserve"> SERVICII </w:t>
      </w:r>
    </w:p>
    <w:p w14:paraId="7422D616" w14:textId="77777777" w:rsidR="00ED7E62" w:rsidRDefault="00ED7E62" w:rsidP="006F28CE">
      <w:pPr>
        <w:autoSpaceDE w:val="0"/>
        <w:autoSpaceDN w:val="0"/>
        <w:adjustRightInd w:val="0"/>
        <w:spacing w:after="0"/>
        <w:ind w:left="720" w:firstLine="69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    </w:t>
      </w:r>
      <w:r w:rsidRPr="006539BA">
        <w:rPr>
          <w:rFonts w:ascii="Segoe UI Symbol" w:eastAsia="Calibri" w:hAnsi="Segoe UI Symbol" w:cs="Segoe UI Symbol"/>
          <w:sz w:val="24"/>
          <w:szCs w:val="24"/>
          <w:lang w:val="ro-RO" w:eastAsia="en-US"/>
        </w:rPr>
        <w:t>☐</w:t>
      </w:r>
      <w:r w:rsidRPr="006539BA">
        <w:rPr>
          <w:rFonts w:ascii="Cambria" w:eastAsia="Calibri" w:hAnsi="Cambria" w:cs="Trebuchet MS"/>
          <w:sz w:val="24"/>
          <w:szCs w:val="24"/>
          <w:lang w:val="ro-RO" w:eastAsia="en-US"/>
        </w:rPr>
        <w:t xml:space="preserve"> SPRIJIN FORFETAR </w:t>
      </w:r>
    </w:p>
    <w:p w14:paraId="777BF2D0" w14:textId="77777777" w:rsidR="006F28CE" w:rsidRPr="006539BA" w:rsidRDefault="006F28CE" w:rsidP="006F28CE">
      <w:pPr>
        <w:autoSpaceDE w:val="0"/>
        <w:autoSpaceDN w:val="0"/>
        <w:adjustRightInd w:val="0"/>
        <w:spacing w:after="0"/>
        <w:ind w:left="720" w:firstLine="690"/>
        <w:jc w:val="both"/>
        <w:rPr>
          <w:rFonts w:ascii="Cambria" w:eastAsia="Calibri" w:hAnsi="Cambria" w:cs="Trebuchet MS"/>
          <w:sz w:val="24"/>
          <w:szCs w:val="24"/>
          <w:lang w:val="ro-RO" w:eastAsia="en-US"/>
        </w:rPr>
      </w:pPr>
    </w:p>
    <w:p w14:paraId="691F1A42"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Descrierea generală a măsurii, inclusiv a logicii de intervenție a acesteia și a contribuției la prioritățile strategiei, la domeniile de intervenție, la obiectivele transversale și a complementarității cu alte măsuri din SDL</w:t>
      </w:r>
    </w:p>
    <w:p w14:paraId="693F4A30" w14:textId="77777777" w:rsidR="00ED7E62" w:rsidRPr="006539BA" w:rsidRDefault="00ED7E62" w:rsidP="006F28CE">
      <w:pPr>
        <w:numPr>
          <w:ilvl w:val="0"/>
          <w:numId w:val="1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Justificare şi corelare cu analiza SWOT</w:t>
      </w:r>
    </w:p>
    <w:p w14:paraId="3C0E0913"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Scopul acestei măsuri este să furnizeze servicii de instruire şi de informare persoanelor şi IMM-urilor care sunt implicate în sectoarele agricol şi alimentar din teritoriul GAL „Câmpia Burnazului”, pentru a îmbunătăţi cunoştinţele tehnice, abilităţile, inovarea şi capacitatea managerială generală atât cu privire la îmbunătăţirea productivităţii şi creșterea valorii adăugate, cât și cu privire la acţiunile transversale privind mediul şi schimbările climatice. </w:t>
      </w:r>
    </w:p>
    <w:p w14:paraId="017EFE7D"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Analizând zona GAL „Câmpia Burnazului” se poate constata că agricultura reprezintă una din principalele ramuri ale economiei locale. Această situaţie este determinată de faptul că suprafaţa agricolă din teritoriul GAL este de 97.254 ha, reprezentând 85,92% din fondul funciar, din care mare parte este suprafaţa arabilă (87.437 ha) şi păşuni (8.260 ha). </w:t>
      </w:r>
    </w:p>
    <w:p w14:paraId="7FF5BA0D"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Solul prezintă un grad ridicat de fertilitate naturală, favorabil dezvoltării de culturi agricole cerealiere, precum şi pentru legume şi plante tehnice. De asemenea, teritoriul regiunii asigură factori propice creşterii animalelor. Rasele preferate pentru o creştere intensivă sunt reprezentate de ovine, bovine, caprine, porcine. Produsele rezultate pot fi valorificate prin procesare şi valorificarea superioară a acestora.</w:t>
      </w:r>
    </w:p>
    <w:p w14:paraId="10EF9138"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Ţinând cont de această situaţie, exploataţiile agricole din sectorele sus amintite reprezintă o prioritate pentru GAL „Câmpia Burnazului”. Conform analizei SWOT şi analizei nevoilor, este necesară îmbunătăţirea potenţialul uman al persoanelor implicate în sectoarele agricol prin activităţi de instruire şi transfer de cunoştinţe. Aceste activităţi sunt cruciale pentru a promova creşterea economică şi dezvoltarea în zona GAL şi pentru a îmbunătăţi sustenabilitatea, competitivitatea, eficienţa resurselor şi performanţele de mediu în întreprinderile agricole. În acest sens, primul pas îl constituie pregătirea – prin Măsura M1/1C - în scopul introducerii sistemelor de calitate alimentară, favorizării asocierii, restructurării efieciente a  fermelor etc.</w:t>
      </w:r>
    </w:p>
    <w:p w14:paraId="51A2C02C"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O mare parte din totalul populației active din mediul rural este ocupată în sectorul agricol.</w:t>
      </w:r>
    </w:p>
    <w:p w14:paraId="6BB345FA"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 urma analizei SWOT efectuate, în teritoriul GAL „Câmpia Burnazului” a fost identificată o nevoie pregnanţă de profesionalizare a persoanelor active în sectorul agricol prin facilitarea accesului acestora la cunoaştere. Astfel, în ceea ce priveşte instruirea șefilor de exploatații agricole, identificăm următoarea situaţie: 97,30% au doar experiență practică agricolă, 2,34% au pregătire agricolă de bază şi 0,36% au pregătire agricolă completă.</w:t>
      </w:r>
    </w:p>
    <w:p w14:paraId="57907A89"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lastRenderedPageBreak/>
        <w:t>Evoluția și specializarea în agricultură necesită un nivel corespunzător de instruire tehnică, economică și juridică, inclusiv expertiză în tehnologii noi ale informației, pentru a corespunde cerințelor comunitare în domeniul fitosanitar, standardelor de calitate, sprijinind astfel mobilizarea populației rurale și îmbunatăţirea diversității locale în vederea creșterii atractivității zonelor rurale, a diversificării economiei rurale și a calităţii vieții.</w:t>
      </w:r>
    </w:p>
    <w:p w14:paraId="5CB9B734"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De asemenea, transferul de cunoştinţe va ajuta la abordarea dezavantajelor legate de nivelul foarte mare de fragmentare din sectorul agricol, cu o pondere foarte mare a fermelor mici, lipsa inovației, decalajele tehnologice, nivelul scăzut de asociere, lipsa sistemelor de calitate, lanţuri scurte de aprovizionare slab dezvoltate.</w:t>
      </w:r>
    </w:p>
    <w:p w14:paraId="5BB63322"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Pentru dezvoltarea economică a zonei GAL aceste lipsuri trebuie compensate, pe o parte, şi pe de altă parte, luaţi în seamă şi folosiţi factorii pozitivi şi posibilităţile, cum ar fi: existenţa unui local knowledge ceea ce priveşte cultura vegetală, creşterea animalelor (păşunarea, accesul animalelor la plantele medicinale pe păşune şi producerea unui lapte de o calitate specială).</w:t>
      </w:r>
    </w:p>
    <w:p w14:paraId="77D4991B"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Prin intermediul acestei măsuri, fermierii vor avea acces la cunoştinţe, informare şi bune practici în scopul îmbunătăţirii performanței economice a activităţii, unei mai bune integrări în lanţul agro-alimentar, gestionării durabile şi eficiente a resurselor, adoptării de practici prietenoase cu mediul. </w:t>
      </w:r>
    </w:p>
    <w:p w14:paraId="3202A762"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Necesitatea activităților de formare profesională apare în contextul legat de creșterea competitivității și diversificării produselor și activităților din agricultură, de restructurare și modernizare a sectoarelor agricol, a sectoarelor de procesare și comercializare pentru produsele agricole, de încurajare a afacerilor orientate spre piață, a cerințelor pentru o gamă largă de aptitudini economice și de management cât și de îndeplinirea obiectivului gestionării durabile a terenurilor și protecției mediului, aplicarea de tehnologii și practici prietenoase mediului și de utilizare a energiei regenerabile.</w:t>
      </w:r>
    </w:p>
    <w:p w14:paraId="2ADC16C5"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Obiectiv(e) de dezvoltare rurală </w:t>
      </w:r>
    </w:p>
    <w:p w14:paraId="586257EF"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Măsura M1/1C contribuie la următoarele obiective de dezvoltare rurală ale Reg (UE) nr. 1305/2013: favorizarea competitivităţii agriculturii; asigurarea gestionarii durabile a resurselor naturale şi combaterea schimbărilor climatice; obținerea unei dezvoltări teritoriale echilibrate a economiilor și comunitățiilor rurale, inclusiv crearea și menținerea de locuri de muncă.</w:t>
      </w:r>
    </w:p>
    <w:p w14:paraId="4FD459E5"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Obiective specifice/locale ale măsurii</w:t>
      </w:r>
    </w:p>
    <w:p w14:paraId="20897984" w14:textId="77777777" w:rsidR="00ED7E62" w:rsidRPr="006539BA" w:rsidRDefault="00ED7E62" w:rsidP="006F28CE">
      <w:pPr>
        <w:numPr>
          <w:ilvl w:val="0"/>
          <w:numId w:val="13"/>
        </w:numPr>
        <w:tabs>
          <w:tab w:val="left" w:pos="360"/>
        </w:tabs>
        <w:autoSpaceDE w:val="0"/>
        <w:autoSpaceDN w:val="0"/>
        <w:adjustRightInd w:val="0"/>
        <w:spacing w:after="0"/>
        <w:ind w:left="0" w:firstLine="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îmbunătăţirea competitivității sectorului agricol prin acțiuni de formare, informare și difuzare de cunoștințe inovative adresate persoanelor adulte care activează în sectorul menţionat; dobândirea de informaţii și cunoștințe relevante care să permită gospodărirea durabilă a terenurilor agricole, creșterea calității managementului; </w:t>
      </w:r>
    </w:p>
    <w:p w14:paraId="55076FD4" w14:textId="77777777"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încurajarea participării la forme asociative; </w:t>
      </w:r>
    </w:p>
    <w:p w14:paraId="1959FEAC" w14:textId="77777777"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încurajarea introducerii sistemelor de calitate; încurajarea restructurării şi modernizarea exploataţiilor într-un mod inovativ; </w:t>
      </w:r>
    </w:p>
    <w:p w14:paraId="2C8BBA1E" w14:textId="77777777" w:rsidR="00ED7E62" w:rsidRPr="006539BA" w:rsidRDefault="00ED7E62" w:rsidP="006F28CE">
      <w:pPr>
        <w:numPr>
          <w:ilvl w:val="0"/>
          <w:numId w:val="5"/>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conștientizarea participanților privind problemele generale de mediu în sectorul agricol, în scopul îmbunătățirii protecției mediului;</w:t>
      </w:r>
    </w:p>
    <w:p w14:paraId="076FDC21"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Contribuţie la prioritatea/priorităţile prevăzute în art. 5, Reg. (UE) nr. 1305/2013</w:t>
      </w:r>
    </w:p>
    <w:p w14:paraId="695C9F8C"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lastRenderedPageBreak/>
        <w:t xml:space="preserve">Măsura contribuie la prioritatea </w:t>
      </w:r>
      <w:r w:rsidRPr="006539BA">
        <w:rPr>
          <w:rFonts w:ascii="Cambria" w:eastAsia="Calibri" w:hAnsi="Cambria" w:cs="Trebuchet MS"/>
          <w:b/>
          <w:bCs/>
          <w:sz w:val="24"/>
          <w:szCs w:val="24"/>
          <w:lang w:val="ro-RO" w:eastAsia="en-US"/>
        </w:rPr>
        <w:t>P1 Încurajarea transferului de cunoștințe și a inovării în agricultură, în silvicultură și în zonele rurale</w:t>
      </w:r>
      <w:r w:rsidRPr="006539BA">
        <w:rPr>
          <w:rFonts w:ascii="Cambria" w:eastAsia="Calibri" w:hAnsi="Cambria" w:cs="Trebuchet MS"/>
          <w:sz w:val="24"/>
          <w:szCs w:val="24"/>
          <w:lang w:val="ro-RO" w:eastAsia="en-US"/>
        </w:rPr>
        <w:t xml:space="preserve">. </w:t>
      </w:r>
    </w:p>
    <w:p w14:paraId="2161BB97"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Măsura corespunde obiectivelor art. 14 din Reg. (UE) 1305/2013</w:t>
      </w:r>
      <w:r w:rsidRPr="006539BA">
        <w:rPr>
          <w:rFonts w:ascii="Cambria" w:eastAsia="Calibri" w:hAnsi="Cambria" w:cs="Trebuchet MS"/>
          <w:sz w:val="24"/>
          <w:szCs w:val="24"/>
          <w:lang w:val="ro-RO" w:eastAsia="en-US"/>
        </w:rPr>
        <w:t xml:space="preserve"> „Transfer de cunoştinţe şi acţiuni de informare”.</w:t>
      </w:r>
    </w:p>
    <w:p w14:paraId="3D6661C1"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Măsura contribuie la Domeniu de intervenţie</w:t>
      </w:r>
      <w:r w:rsidR="00632886" w:rsidRPr="006539BA">
        <w:rPr>
          <w:rFonts w:ascii="Cambria" w:eastAsia="Calibri" w:hAnsi="Cambria" w:cs="Trebuchet MS"/>
          <w:b/>
          <w:bCs/>
          <w:sz w:val="24"/>
          <w:szCs w:val="24"/>
          <w:lang w:val="ro-RO" w:eastAsia="en-US"/>
        </w:rPr>
        <w:t xml:space="preserve"> </w:t>
      </w:r>
      <w:r w:rsidRPr="006539BA">
        <w:rPr>
          <w:rFonts w:ascii="Cambria" w:eastAsia="Calibri" w:hAnsi="Cambria" w:cs="Trebuchet MS"/>
          <w:b/>
          <w:bCs/>
          <w:sz w:val="24"/>
          <w:szCs w:val="24"/>
          <w:lang w:val="ro-RO" w:eastAsia="en-US"/>
        </w:rPr>
        <w:t>1C) - Încurajarea învățării pe tot parcursul vieții și a formării profesionale în sectoarele agricol și forestier</w:t>
      </w:r>
      <w:r w:rsidRPr="006539BA">
        <w:rPr>
          <w:rFonts w:ascii="Cambria" w:eastAsia="Calibri" w:hAnsi="Cambria" w:cs="Trebuchet MS"/>
          <w:sz w:val="24"/>
          <w:szCs w:val="24"/>
          <w:lang w:val="ro-RO" w:eastAsia="en-US"/>
        </w:rPr>
        <w:t xml:space="preserve">. </w:t>
      </w:r>
    </w:p>
    <w:p w14:paraId="1BC0F10C" w14:textId="77777777" w:rsidR="00ED7E62" w:rsidRPr="006539BA" w:rsidRDefault="00ED7E62" w:rsidP="006F28CE">
      <w:pPr>
        <w:numPr>
          <w:ilvl w:val="0"/>
          <w:numId w:val="2"/>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Contribuţie la obiective transversale ale Reg. (UE) nr. 1305/2013</w:t>
      </w:r>
    </w:p>
    <w:p w14:paraId="53EC1B38"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Măsura contribuie la obiectivele transversale </w:t>
      </w:r>
      <w:r w:rsidRPr="006539BA">
        <w:rPr>
          <w:rFonts w:ascii="Cambria" w:eastAsia="Calibri" w:hAnsi="Cambria" w:cs="Trebuchet MS"/>
          <w:sz w:val="24"/>
          <w:szCs w:val="24"/>
          <w:lang w:val="ro-RO" w:eastAsia="en-US"/>
        </w:rPr>
        <w:t xml:space="preserve">legate de inovare, de protecția mediului și de atenuarea schimbărilor climatice și de adaptarea la acestea, astfel: </w:t>
      </w:r>
    </w:p>
    <w:p w14:paraId="23DD2696" w14:textId="77777777"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Inovare: </w:t>
      </w:r>
    </w:p>
    <w:p w14:paraId="761E09E7"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Măsură va finanţa acţiuni de informare, formare şi activităţi demonstrative pentru a stimula acţiunile inovatoare, crearea de reţele, parteneriate şi clustere, a stimula schimbul de bune practici şi cunoştinţe în sectorele vegetal şi creşterea animalelor. Se urmăreşte de asemenea, identificarea şi transferul de bune practici şi adaptarea acestora la contextul local, preluarea de  metode moderne şi inovative de manageriere. Activităţile demonstrative le permit acestora să aibă contact cu echipamente şi utilaje moderne, tehnologii inovatoare, să beneficieze de transfer de practici noi etc.</w:t>
      </w:r>
    </w:p>
    <w:p w14:paraId="796ED2B5" w14:textId="77777777" w:rsidR="00ED7E62" w:rsidRPr="006539BA" w:rsidRDefault="00ED7E62" w:rsidP="006F28CE">
      <w:p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Mediu şi atenuarea şi adaptarea la schimbările climatice: </w:t>
      </w:r>
    </w:p>
    <w:p w14:paraId="2B966A42"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Vor fi finanţare proiecte care informează grupul ţinta cu privire la acţiunile de atenuare a schimbărilor climatice, limitarea emisiilor din agricultură, generate în fermele zootehnice şi prin utilizarea îngrășămintelor, cât și intensificarea activității de sechestrare a carbonului în ceea ce privește exploatarea terenurilor, schimbarea destinației terenurilor. Un accent deosebit în selectarea proiectelor se va pune pe aspectele privind protecţia mediului, inclusiv protejarea biodiversității.</w:t>
      </w:r>
    </w:p>
    <w:p w14:paraId="44772D3C" w14:textId="77777777" w:rsidR="00ED7E62" w:rsidRPr="006539BA" w:rsidRDefault="00ED7E62" w:rsidP="006F28CE">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Complementaritatea cu alte măsuri din SDL</w:t>
      </w:r>
    </w:p>
    <w:p w14:paraId="2B0F26AC"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Măsura M1/1C este complementară cu măsura M7/6B Investiţii în renovarea satelor, echiparea teritoriului şi punerea în valoare a obiectivelor de patrimoniu, în sensul că beneficiarii direcţi ai acestei măsuri, furnizori de servicii de formare sau de alte servicii de transfer de cunoştinţe şi de acţiuni de informare constituie beneficiari indirecţi ai măsurii M7/6B, beneficiind de infrastructură şi servicii rurale îmbunătăţite.  </w:t>
      </w:r>
    </w:p>
    <w:p w14:paraId="7F4B6015"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Valoarea adăugată a măsurii </w:t>
      </w:r>
    </w:p>
    <w:p w14:paraId="09B21066"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Măsura va contribui în mod semnificativ la creşterea competitivităţii sectorului agro-alimentar prin transferul de cunoştinţe în legătură cu tehnologiilor inovative, promovarea acţiunilor de cooperare în lanţul de aprovizionare, creşterea conştientizării în domeniul protecţiei ecosistemelor şi biodiversităţii şi promovarea tehnologiilor şi ideilor inovatoare în scopul utilizării eficiente a resurselor şi adaptării la schimbările climatice şi promovarea incluziunii sociale şi a dezvoltării economice a zonelor rurale. Vor fi finanţate cu prioritate proiectele care promovează preluarea de metode moderne şi inovative şi acţiuni de atenuare a schimbărilor climatice şi aspecte legate de protecţia mediului.</w:t>
      </w:r>
    </w:p>
    <w:p w14:paraId="0F2BDBD2" w14:textId="77777777" w:rsidR="00ED7E62" w:rsidRPr="006539BA" w:rsidRDefault="00ED7E62" w:rsidP="006F28CE">
      <w:pPr>
        <w:numPr>
          <w:ilvl w:val="0"/>
          <w:numId w:val="6"/>
        </w:numPr>
        <w:tabs>
          <w:tab w:val="clear" w:pos="285"/>
          <w:tab w:val="num" w:pos="0"/>
          <w:tab w:val="left" w:pos="270"/>
        </w:tabs>
        <w:autoSpaceDE w:val="0"/>
        <w:autoSpaceDN w:val="0"/>
        <w:adjustRightInd w:val="0"/>
        <w:spacing w:after="0"/>
        <w:ind w:left="0" w:firstLine="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Trimiteri la alte acte legislative: </w:t>
      </w:r>
      <w:r w:rsidRPr="006539BA">
        <w:rPr>
          <w:rFonts w:ascii="Cambria" w:eastAsia="Calibri" w:hAnsi="Cambria" w:cs="Trebuchet MS"/>
          <w:sz w:val="24"/>
          <w:szCs w:val="24"/>
          <w:lang w:val="ro-RO" w:eastAsia="en-US"/>
        </w:rPr>
        <w:t>R (UE) Nr. 1336/2013, OUG Nr. 34 /2006, Legea Nr. 31/1990, Legea Nr. 1/2011;</w:t>
      </w:r>
    </w:p>
    <w:p w14:paraId="209CB4B3"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Beneficiari direcți/indirecți (grup țintă) </w:t>
      </w:r>
    </w:p>
    <w:p w14:paraId="36CCED5A"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lastRenderedPageBreak/>
        <w:t>Beneficiari direcţi</w:t>
      </w:r>
      <w:r w:rsidRPr="006539BA">
        <w:rPr>
          <w:rFonts w:ascii="Cambria" w:eastAsia="Calibri" w:hAnsi="Cambria" w:cs="Trebuchet MS"/>
          <w:sz w:val="24"/>
          <w:szCs w:val="24"/>
          <w:lang w:val="ro-RO" w:eastAsia="en-US"/>
        </w:rPr>
        <w:t xml:space="preserve"> ai acestei măsuri sunt entităţi sau organisme publice sau private care vor asigura transferul de cunoştinţe şi/sau acţiuni de informare şi care îndeplinesc criteriile de eligibilitate şi de selecţie stabilite de GAL.</w:t>
      </w:r>
    </w:p>
    <w:p w14:paraId="6EBA639E"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t>Beneficiari indirecţi</w:t>
      </w:r>
      <w:r w:rsidRPr="006539BA">
        <w:rPr>
          <w:rFonts w:ascii="Cambria" w:eastAsia="Calibri" w:hAnsi="Cambria" w:cs="Trebuchet MS"/>
          <w:sz w:val="24"/>
          <w:szCs w:val="24"/>
          <w:lang w:val="ro-RO" w:eastAsia="en-US"/>
        </w:rPr>
        <w:t xml:space="preserve"> sunt persoanelor implicate în sectoarele agricol şi alimentar, manageri, agenţi economicii/ IMM-uri care activează în sectoarele agricole din teritoriul GAL „Câmpia Burnazului”. Nu există o limită a dimensiunii activităţii sau a întreprinderii care participă la activităţile promovate în baza acestei măsuri.</w:t>
      </w:r>
    </w:p>
    <w:p w14:paraId="7F8CA100"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b/>
          <w:bCs/>
          <w:sz w:val="24"/>
          <w:szCs w:val="24"/>
          <w:lang w:val="ro-RO" w:eastAsia="en-US"/>
        </w:rPr>
        <w:t xml:space="preserve">Tip de sprijin: </w:t>
      </w:r>
      <w:r w:rsidRPr="006539BA">
        <w:rPr>
          <w:rFonts w:ascii="Cambria" w:eastAsia="Calibri" w:hAnsi="Cambria" w:cs="Trebuchet MS"/>
          <w:sz w:val="24"/>
          <w:szCs w:val="24"/>
          <w:lang w:val="ro-RO" w:eastAsia="en-US"/>
        </w:rPr>
        <w:t>rambursarea costurilor eligibile suportate și plătite efectiv.</w:t>
      </w:r>
    </w:p>
    <w:p w14:paraId="51097FE6"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Tipuri de acțiuni eligibile și neeligibile </w:t>
      </w:r>
    </w:p>
    <w:p w14:paraId="747C80FB"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u w:val="single"/>
          <w:lang w:val="ro-RO" w:eastAsia="en-US"/>
        </w:rPr>
      </w:pPr>
      <w:r w:rsidRPr="006539BA">
        <w:rPr>
          <w:rFonts w:ascii="Cambria" w:eastAsia="Calibri" w:hAnsi="Cambria" w:cs="Trebuchet MS"/>
          <w:sz w:val="24"/>
          <w:szCs w:val="24"/>
          <w:u w:val="single"/>
          <w:lang w:val="ro-RO" w:eastAsia="en-US"/>
        </w:rPr>
        <w:t>Acțiunile eligibile în baza acestei măsuri sunt:</w:t>
      </w:r>
    </w:p>
    <w:p w14:paraId="676D02A2" w14:textId="77777777"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Acţiuni de instruire profesională şi dobândire competenţe: cursuri de instruire, workshop-uri şi îndrumare profesională;</w:t>
      </w:r>
    </w:p>
    <w:p w14:paraId="5C0AFEF4" w14:textId="77777777"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Activităţi demonstrative: o sesiune practică pentru a ilustra tehnologia, utilizarea unei echipament nou sau îmbunătăţit semnificativ, o nouă metodă de protecţie a recoltei sau o tehnică specifică de producţie. Activitatea poate să aibă loc într-o exploataţie sau într-un alt loc cum ar fi centre de cercetare, clădiri pentru expoziţii etc.</w:t>
      </w:r>
    </w:p>
    <w:p w14:paraId="2CE3CB61" w14:textId="77777777" w:rsidR="00ED7E62" w:rsidRPr="006539BA" w:rsidRDefault="00ED7E62" w:rsidP="006F28CE">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Acţiuni de informare: activităţi pentru a disemina informaţii privind agricultura, silvicultura şi IMM-urile, pentru a conştientiza grupul ţintă privind cunoştinţele pentru locul de muncă. Aceste acţiuni pot lua forma unor expoziţii, întâlniri, prezentări sau pot fi informaţii tipărite sau pe medii electronice.</w:t>
      </w:r>
    </w:p>
    <w:p w14:paraId="39FE21EE" w14:textId="77777777"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u w:val="single"/>
          <w:lang w:val="ro-RO" w:eastAsia="en-US"/>
        </w:rPr>
        <w:t>Acțiunile neeligibile:</w:t>
      </w:r>
      <w:r w:rsidRPr="006539BA">
        <w:rPr>
          <w:rFonts w:ascii="Cambria" w:eastAsia="Calibri" w:hAnsi="Cambria" w:cs="Trebuchet MS"/>
          <w:sz w:val="24"/>
          <w:szCs w:val="24"/>
          <w:lang w:val="ro-RO" w:eastAsia="en-US"/>
        </w:rPr>
        <w:t xml:space="preserve"> cursurile de instruire sau de formare care fac parte din programele educative normale sau din sisteme la nivelele de învăţământ liceal sau universitar, cursuri de formare profesională finanțate prin alte programe.</w:t>
      </w:r>
    </w:p>
    <w:p w14:paraId="65686B32" w14:textId="77777777"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Cheltuielile eligibile sunt:</w:t>
      </w:r>
    </w:p>
    <w:p w14:paraId="71E53ECB" w14:textId="77777777" w:rsidR="00ED7E62" w:rsidRPr="006539BA" w:rsidRDefault="00ED7E62" w:rsidP="006F28CE">
      <w:pPr>
        <w:numPr>
          <w:ilvl w:val="0"/>
          <w:numId w:val="13"/>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Onorariile prestatorului (inclusiv salarii, cazare, masă și transport);</w:t>
      </w:r>
    </w:p>
    <w:p w14:paraId="02A6E597" w14:textId="77777777" w:rsidR="00ED7E62" w:rsidRPr="006539BA" w:rsidRDefault="00ED7E62" w:rsidP="006F28CE">
      <w:pPr>
        <w:numPr>
          <w:ilvl w:val="0"/>
          <w:numId w:val="13"/>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 pentru derularea acțiunilor, după cum urmează:</w:t>
      </w:r>
    </w:p>
    <w:p w14:paraId="57C27E70" w14:textId="77777777"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cazare, masă și transport participanți, după caz;</w:t>
      </w:r>
    </w:p>
    <w:p w14:paraId="5B796B73" w14:textId="77777777"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materiale didactice și consumabile;</w:t>
      </w:r>
    </w:p>
    <w:p w14:paraId="5C1C06AC" w14:textId="77777777"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închirierea de echipamente necesare;</w:t>
      </w:r>
    </w:p>
    <w:p w14:paraId="3A38E3E7" w14:textId="77777777" w:rsidR="00ED7E62" w:rsidRPr="006539BA" w:rsidRDefault="00ED7E62" w:rsidP="006F28CE">
      <w:pPr>
        <w:numPr>
          <w:ilvl w:val="0"/>
          <w:numId w:val="14"/>
        </w:numPr>
        <w:tabs>
          <w:tab w:val="left" w:pos="180"/>
        </w:tabs>
        <w:autoSpaceDE w:val="0"/>
        <w:autoSpaceDN w:val="0"/>
        <w:adjustRightInd w:val="0"/>
        <w:spacing w:after="0"/>
        <w:ind w:left="1260" w:hanging="18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închirierea de spaţii pentru susținerea acțiunilor de formare.</w:t>
      </w:r>
    </w:p>
    <w:p w14:paraId="338BF294" w14:textId="77777777"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Alte cheltuieli strict legate de implementarea acţiunilor de formare profesională (exemplu: cheltuieli pentru închiriere, costurile utilităților aferente spațiului în care se desfășoară managementul de proiect acolo unde se justifică).</w:t>
      </w:r>
    </w:p>
    <w:p w14:paraId="1AE5F38E" w14:textId="77777777" w:rsidR="00ED7E62" w:rsidRPr="006539BA" w:rsidRDefault="00ED7E62" w:rsidP="006F28CE">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 neeligibile sunt:</w:t>
      </w:r>
    </w:p>
    <w:p w14:paraId="02BD559F" w14:textId="77777777"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legate de cursuri de formare profesională care fac parte din programul de educație sau sisteme de învătământ secundar și superior;</w:t>
      </w:r>
    </w:p>
    <w:p w14:paraId="348A6FBB" w14:textId="77777777"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legate de cursuri de formare profesională finanțate prin alte programe;</w:t>
      </w:r>
    </w:p>
    <w:p w14:paraId="3DED30E7" w14:textId="77777777" w:rsidR="00ED7E62" w:rsidRPr="006539BA" w:rsidRDefault="00ED7E62" w:rsidP="006F28CE">
      <w:pPr>
        <w:numPr>
          <w:ilvl w:val="0"/>
          <w:numId w:val="15"/>
        </w:numPr>
        <w:tabs>
          <w:tab w:val="left" w:pos="180"/>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costurile cu investițiile.</w:t>
      </w:r>
    </w:p>
    <w:p w14:paraId="4F79E1D6"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Condiții de eligibilitate </w:t>
      </w:r>
    </w:p>
    <w:p w14:paraId="11D9B95E" w14:textId="77777777" w:rsidR="00ED7E62" w:rsidRPr="006539BA" w:rsidRDefault="00ED7E62" w:rsidP="006F28CE">
      <w:pPr>
        <w:numPr>
          <w:ilvl w:val="0"/>
          <w:numId w:val="4"/>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Solicitantul se încadrează în categoria de beneficiari eligibili şi are prevăzut în obiectul de activitate activități specifice domeniului; </w:t>
      </w:r>
    </w:p>
    <w:p w14:paraId="68A910D4" w14:textId="77777777" w:rsidR="00ED7E62" w:rsidRPr="006539BA" w:rsidRDefault="00ED7E62" w:rsidP="006F28CE">
      <w:pPr>
        <w:numPr>
          <w:ilvl w:val="0"/>
          <w:numId w:val="4"/>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dispune de personal calificat, propriu sau cooptat în domeniu;</w:t>
      </w:r>
    </w:p>
    <w:p w14:paraId="38F7925F" w14:textId="77777777" w:rsidR="00ED7E62" w:rsidRPr="006539BA" w:rsidRDefault="00ED7E62" w:rsidP="006F28CE">
      <w:pPr>
        <w:numPr>
          <w:ilvl w:val="0"/>
          <w:numId w:val="4"/>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 xml:space="preserve">Costuri eligibile: costul de organizare şi furnizare a transferului de cunoştinţe şi al acţiunilor de informare: costuri suportate pentru implementarea operaţiunii (de ex. </w:t>
      </w:r>
      <w:r w:rsidRPr="006539BA">
        <w:rPr>
          <w:rFonts w:ascii="Cambria" w:eastAsia="Calibri" w:hAnsi="Cambria" w:cs="Trebuchet MS"/>
          <w:sz w:val="24"/>
          <w:szCs w:val="24"/>
          <w:lang w:val="ro-RO" w:eastAsia="en-US"/>
        </w:rPr>
        <w:lastRenderedPageBreak/>
        <w:t>salarii, costuri de călătorie, material de instruire, costuri ale facilităţilor unde se realizează acţiunea etc.); Costurile participanţilor inclusiv: călătorie, cazare, diurnă;</w:t>
      </w:r>
    </w:p>
    <w:p w14:paraId="0CB71BEF" w14:textId="77777777" w:rsidR="00ED7E62" w:rsidRPr="006539BA" w:rsidRDefault="00ED7E62" w:rsidP="006F28CE">
      <w:pPr>
        <w:numPr>
          <w:ilvl w:val="0"/>
          <w:numId w:val="11"/>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dispune de capacitate tehnică şi financiară necesară derulării activităţilor specifice</w:t>
      </w:r>
      <w:r w:rsidR="00632886" w:rsidRPr="006539BA">
        <w:rPr>
          <w:rFonts w:ascii="Cambria" w:eastAsia="Calibri" w:hAnsi="Cambria" w:cs="Trebuchet MS"/>
          <w:sz w:val="24"/>
          <w:szCs w:val="24"/>
          <w:lang w:val="ro-RO" w:eastAsia="en-US"/>
        </w:rPr>
        <w:t xml:space="preserve"> </w:t>
      </w:r>
      <w:r w:rsidRPr="006539BA">
        <w:rPr>
          <w:rFonts w:ascii="Cambria" w:eastAsia="Calibri" w:hAnsi="Cambria" w:cs="Trebuchet MS"/>
          <w:sz w:val="24"/>
          <w:szCs w:val="24"/>
          <w:lang w:val="ro-RO" w:eastAsia="en-US"/>
        </w:rPr>
        <w:t xml:space="preserve">angajându-se în acest sens printr-o declaraţie pe propria răspundere; </w:t>
      </w:r>
    </w:p>
    <w:p w14:paraId="67B755FF" w14:textId="77777777" w:rsidR="00ED7E62" w:rsidRPr="006539BA" w:rsidRDefault="00ED7E62" w:rsidP="006F28CE">
      <w:pPr>
        <w:numPr>
          <w:ilvl w:val="0"/>
          <w:numId w:val="11"/>
        </w:numPr>
        <w:tabs>
          <w:tab w:val="clear" w:pos="270"/>
          <w:tab w:val="left" w:pos="285"/>
        </w:tabs>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Solicitantul nu este în stare de faliment ori lichidare, şi-a îndeplinit obligaţiile de plată a impozitelor, taxelor şi contribuţiilor de asigurări sociale către bugetul de stat;</w:t>
      </w:r>
    </w:p>
    <w:p w14:paraId="7F6AFDFC"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Criterii de eligibilitate pentru participanţi:</w:t>
      </w:r>
    </w:p>
    <w:p w14:paraId="469EB165" w14:textId="77777777" w:rsidR="00ED7E62" w:rsidRPr="006539BA" w:rsidRDefault="00ED7E62" w:rsidP="006F28CE">
      <w:pPr>
        <w:numPr>
          <w:ilvl w:val="0"/>
          <w:numId w:val="9"/>
        </w:numPr>
        <w:tabs>
          <w:tab w:val="clear" w:pos="720"/>
          <w:tab w:val="num" w:pos="360"/>
        </w:tabs>
        <w:autoSpaceDE w:val="0"/>
        <w:autoSpaceDN w:val="0"/>
        <w:adjustRightInd w:val="0"/>
        <w:spacing w:after="0"/>
        <w:ind w:left="270" w:hanging="27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Au domiciliul sau exploataţia pe teritoriul GAL „Câmpia Burnazului”;</w:t>
      </w:r>
    </w:p>
    <w:p w14:paraId="51084B7A" w14:textId="77777777" w:rsidR="00ED7E62" w:rsidRPr="006539BA" w:rsidRDefault="00ED7E62" w:rsidP="006F28CE">
      <w:pPr>
        <w:numPr>
          <w:ilvl w:val="0"/>
          <w:numId w:val="9"/>
        </w:numPr>
        <w:tabs>
          <w:tab w:val="clear" w:pos="720"/>
          <w:tab w:val="num" w:pos="360"/>
        </w:tabs>
        <w:autoSpaceDE w:val="0"/>
        <w:autoSpaceDN w:val="0"/>
        <w:adjustRightInd w:val="0"/>
        <w:spacing w:after="0"/>
        <w:ind w:left="270" w:hanging="27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Au un loc de muncă în sectorul agricol sau alimentar pe teritoriul GAL „Câmpia Burnazului”;</w:t>
      </w:r>
    </w:p>
    <w:p w14:paraId="464474B7"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Criterii de selecție </w:t>
      </w:r>
    </w:p>
    <w:p w14:paraId="4B3E71D0" w14:textId="77777777"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Caracteristici privind nivelul calitativ și tehnic (înțelegerea nevoilor, numărul de experți, experiența acestora, logistica folosită pentru implementarea proiectului etc.);</w:t>
      </w:r>
    </w:p>
    <w:p w14:paraId="35A11087" w14:textId="77777777"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Tematica;</w:t>
      </w:r>
    </w:p>
    <w:p w14:paraId="7F03EE52" w14:textId="77777777"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Furnizorul de formare profesională cu experiență în proiecte implementate în mediul rural şi în relaționarea cu agricultorii;</w:t>
      </w:r>
    </w:p>
    <w:p w14:paraId="54DAB37A" w14:textId="77777777"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Proiecte ce promovează preluarea de  metode moderne şi inovative în practica agricolă;</w:t>
      </w:r>
    </w:p>
    <w:p w14:paraId="65243A8A" w14:textId="77777777" w:rsidR="00ED7E62" w:rsidRPr="006539BA" w:rsidRDefault="00ED7E62" w:rsidP="006F28CE">
      <w:pPr>
        <w:numPr>
          <w:ilvl w:val="0"/>
          <w:numId w:val="3"/>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Proiecte ce promovează acţiuni de atenuare a schimbărilor climatice şi aspecte legate de protecţia mediului.</w:t>
      </w:r>
    </w:p>
    <w:p w14:paraId="39E6BD90" w14:textId="77777777" w:rsidR="00ED7E62" w:rsidRPr="006539BA" w:rsidRDefault="00ED7E62" w:rsidP="006F28CE">
      <w:pPr>
        <w:numPr>
          <w:ilvl w:val="0"/>
          <w:numId w:val="6"/>
        </w:numPr>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Sume (aplicabile) și rata sprijinului </w:t>
      </w:r>
    </w:p>
    <w:p w14:paraId="640319B2"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Sprijinul public nerambursabil acordat este de 100% din cuantumul sprijinului.</w:t>
      </w:r>
    </w:p>
    <w:p w14:paraId="65FDC071" w14:textId="77777777" w:rsidR="00ED7E62" w:rsidRPr="006539BA" w:rsidRDefault="00ED7E62" w:rsidP="006F28CE">
      <w:p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Valoarea sprijinului nerambursabil poate fi de maxim 10.000 Euro.</w:t>
      </w:r>
    </w:p>
    <w:p w14:paraId="52CC95C7" w14:textId="77777777" w:rsidR="00ED7E62" w:rsidRPr="006539BA" w:rsidRDefault="00ED7E62" w:rsidP="006F28CE">
      <w:pPr>
        <w:numPr>
          <w:ilvl w:val="0"/>
          <w:numId w:val="6"/>
        </w:numPr>
        <w:tabs>
          <w:tab w:val="left" w:pos="450"/>
        </w:tabs>
        <w:autoSpaceDE w:val="0"/>
        <w:autoSpaceDN w:val="0"/>
        <w:adjustRightInd w:val="0"/>
        <w:spacing w:after="0"/>
        <w:jc w:val="both"/>
        <w:rPr>
          <w:rFonts w:ascii="Cambria" w:eastAsia="Calibri" w:hAnsi="Cambria" w:cs="Trebuchet MS"/>
          <w:b/>
          <w:bCs/>
          <w:sz w:val="24"/>
          <w:szCs w:val="24"/>
          <w:lang w:val="ro-RO" w:eastAsia="en-US"/>
        </w:rPr>
      </w:pPr>
      <w:r w:rsidRPr="006539BA">
        <w:rPr>
          <w:rFonts w:ascii="Cambria" w:eastAsia="Calibri" w:hAnsi="Cambria" w:cs="Trebuchet MS"/>
          <w:b/>
          <w:bCs/>
          <w:sz w:val="24"/>
          <w:szCs w:val="24"/>
          <w:lang w:val="ro-RO" w:eastAsia="en-US"/>
        </w:rPr>
        <w:t xml:space="preserve">Indicatori de monitorizare </w:t>
      </w:r>
    </w:p>
    <w:p w14:paraId="0D9ACE42" w14:textId="77777777"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Cheltuielile publice totale: 10.000 Euro;</w:t>
      </w:r>
    </w:p>
    <w:p w14:paraId="06E78116" w14:textId="77777777"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1;</w:t>
      </w:r>
    </w:p>
    <w:p w14:paraId="7A4FEAED" w14:textId="77777777"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total al participanţilor instruiţi: 15;</w:t>
      </w:r>
    </w:p>
    <w:p w14:paraId="66F4804E" w14:textId="77777777"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care promovează tehnologii/procese inovative: 1;</w:t>
      </w:r>
    </w:p>
    <w:p w14:paraId="4CEB1411" w14:textId="77777777" w:rsidR="00ED7E62" w:rsidRPr="006539BA" w:rsidRDefault="00ED7E62" w:rsidP="006F28CE">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6539BA">
        <w:rPr>
          <w:rFonts w:ascii="Cambria" w:eastAsia="Calibri" w:hAnsi="Cambria" w:cs="Trebuchet MS"/>
          <w:sz w:val="24"/>
          <w:szCs w:val="24"/>
          <w:lang w:val="ro-RO" w:eastAsia="en-US"/>
        </w:rPr>
        <w:t>Numărul de proiecte care promovează tehnologii prietenoase cu mediu: 1</w:t>
      </w:r>
      <w:r w:rsidR="002C4144" w:rsidRPr="006539BA">
        <w:rPr>
          <w:rFonts w:ascii="Cambria" w:eastAsia="Calibri" w:hAnsi="Cambria" w:cs="Trebuchet MS"/>
          <w:sz w:val="24"/>
          <w:szCs w:val="24"/>
          <w:lang w:val="ro-RO" w:eastAsia="en-US"/>
        </w:rPr>
        <w:t>.</w:t>
      </w:r>
    </w:p>
    <w:p w14:paraId="716DA0F2" w14:textId="77777777" w:rsidR="00870574" w:rsidRPr="00ED7E62" w:rsidRDefault="00870574" w:rsidP="006F28CE">
      <w:pPr>
        <w:autoSpaceDE w:val="0"/>
        <w:autoSpaceDN w:val="0"/>
        <w:adjustRightInd w:val="0"/>
        <w:spacing w:after="0"/>
        <w:jc w:val="both"/>
        <w:rPr>
          <w:rFonts w:ascii="Cambria" w:hAnsi="Cambria" w:cstheme="minorHAnsi"/>
          <w:sz w:val="24"/>
          <w:szCs w:val="24"/>
        </w:rPr>
      </w:pPr>
    </w:p>
    <w:sectPr w:rsidR="00870574" w:rsidRPr="00ED7E62" w:rsidSect="001D4817">
      <w:footerReference w:type="default" r:id="rId8"/>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66BF" w14:textId="77777777" w:rsidR="003E4D4A" w:rsidRDefault="003E4D4A" w:rsidP="00261A25">
      <w:pPr>
        <w:spacing w:after="0" w:line="240" w:lineRule="auto"/>
      </w:pPr>
      <w:r>
        <w:separator/>
      </w:r>
    </w:p>
  </w:endnote>
  <w:endnote w:type="continuationSeparator" w:id="0">
    <w:p w14:paraId="225994E0" w14:textId="77777777" w:rsidR="003E4D4A" w:rsidRDefault="003E4D4A" w:rsidP="0026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49913"/>
      <w:docPartObj>
        <w:docPartGallery w:val="Page Numbers (Bottom of Page)"/>
        <w:docPartUnique/>
      </w:docPartObj>
    </w:sdtPr>
    <w:sdtEndPr>
      <w:rPr>
        <w:noProof/>
      </w:rPr>
    </w:sdtEndPr>
    <w:sdtContent>
      <w:p w14:paraId="41959766" w14:textId="77777777" w:rsidR="00261A25" w:rsidRDefault="00261A25">
        <w:pPr>
          <w:pStyle w:val="Footer"/>
          <w:jc w:val="center"/>
        </w:pPr>
        <w:r>
          <w:fldChar w:fldCharType="begin"/>
        </w:r>
        <w:r>
          <w:instrText xml:space="preserve"> PAGE   \* MERGEFORMAT </w:instrText>
        </w:r>
        <w:r>
          <w:fldChar w:fldCharType="separate"/>
        </w:r>
        <w:r w:rsidR="006F28CE">
          <w:rPr>
            <w:noProof/>
          </w:rPr>
          <w:t>5</w:t>
        </w:r>
        <w:r>
          <w:rPr>
            <w:noProof/>
          </w:rPr>
          <w:fldChar w:fldCharType="end"/>
        </w:r>
      </w:p>
    </w:sdtContent>
  </w:sdt>
  <w:p w14:paraId="22DDE971" w14:textId="77777777" w:rsidR="00261A25" w:rsidRDefault="0026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FB74" w14:textId="77777777" w:rsidR="003E4D4A" w:rsidRDefault="003E4D4A" w:rsidP="00261A25">
      <w:pPr>
        <w:spacing w:after="0" w:line="240" w:lineRule="auto"/>
      </w:pPr>
      <w:r>
        <w:separator/>
      </w:r>
    </w:p>
  </w:footnote>
  <w:footnote w:type="continuationSeparator" w:id="0">
    <w:p w14:paraId="37AA48F8" w14:textId="77777777" w:rsidR="003E4D4A" w:rsidRDefault="003E4D4A" w:rsidP="0026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09F2"/>
    <w:multiLevelType w:val="multilevel"/>
    <w:tmpl w:val="200F9B30"/>
    <w:lvl w:ilvl="0">
      <w:numFmt w:val="bullet"/>
      <w:lvlText w:val="·"/>
      <w:lvlJc w:val="left"/>
      <w:pPr>
        <w:tabs>
          <w:tab w:val="num" w:pos="360"/>
        </w:tabs>
        <w:ind w:left="36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1" w15:restartNumberingAfterBreak="0">
    <w:nsid w:val="0DEE5C16"/>
    <w:multiLevelType w:val="multilevel"/>
    <w:tmpl w:val="11C0020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32436E2B"/>
    <w:multiLevelType w:val="multilevel"/>
    <w:tmpl w:val="5F3844D4"/>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34D349B3"/>
    <w:multiLevelType w:val="hybridMultilevel"/>
    <w:tmpl w:val="F23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B4CC9"/>
    <w:multiLevelType w:val="hybridMultilevel"/>
    <w:tmpl w:val="E17C0E8A"/>
    <w:lvl w:ilvl="0" w:tplc="2A0671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288B4"/>
    <w:multiLevelType w:val="multilevel"/>
    <w:tmpl w:val="D73E0CB4"/>
    <w:lvl w:ilvl="0">
      <w:start w:val="1"/>
      <w:numFmt w:val="decimal"/>
      <w:lvlText w:val="%1."/>
      <w:lvlJc w:val="left"/>
      <w:pPr>
        <w:tabs>
          <w:tab w:val="num" w:pos="900"/>
        </w:tabs>
        <w:ind w:firstLine="540"/>
      </w:pPr>
      <w:rPr>
        <w:rFonts w:ascii="Trebuchet MS" w:hAnsi="Trebuchet MS" w:cs="Times New Roman" w:hint="default"/>
        <w:b/>
        <w:bCs/>
        <w:sz w:val="22"/>
        <w:szCs w:val="22"/>
      </w:rPr>
    </w:lvl>
    <w:lvl w:ilvl="1">
      <w:start w:val="7"/>
      <w:numFmt w:val="decimal"/>
      <w:isLgl/>
      <w:lvlText w:val="%1.%2"/>
      <w:lvlJc w:val="left"/>
      <w:pPr>
        <w:tabs>
          <w:tab w:val="num" w:pos="795"/>
        </w:tabs>
        <w:ind w:left="795" w:hanging="435"/>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520"/>
        </w:tabs>
        <w:ind w:left="2520" w:hanging="2160"/>
      </w:pPr>
      <w:rPr>
        <w:rFonts w:ascii="Times New Roman" w:hAnsi="Times New Roman" w:cs="Times New Roman"/>
        <w:sz w:val="24"/>
        <w:szCs w:val="24"/>
      </w:rPr>
    </w:lvl>
  </w:abstractNum>
  <w:abstractNum w:abstractNumId="6" w15:restartNumberingAfterBreak="0">
    <w:nsid w:val="3B503D33"/>
    <w:multiLevelType w:val="multilevel"/>
    <w:tmpl w:val="31CF4E3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3C7132BD"/>
    <w:multiLevelType w:val="multilevel"/>
    <w:tmpl w:val="79EC7DBE"/>
    <w:lvl w:ilvl="0">
      <w:numFmt w:val="bullet"/>
      <w:lvlText w:val="·"/>
      <w:lvlJc w:val="left"/>
      <w:pPr>
        <w:tabs>
          <w:tab w:val="num" w:pos="720"/>
        </w:tabs>
        <w:ind w:left="720" w:hanging="72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3EFA32C0"/>
    <w:multiLevelType w:val="hybridMultilevel"/>
    <w:tmpl w:val="3EE2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6B074"/>
    <w:multiLevelType w:val="multilevel"/>
    <w:tmpl w:val="8A34705A"/>
    <w:lvl w:ilvl="0">
      <w:start w:val="1"/>
      <w:numFmt w:val="decimal"/>
      <w:lvlText w:val="%1."/>
      <w:lvlJc w:val="left"/>
      <w:pPr>
        <w:tabs>
          <w:tab w:val="num" w:pos="285"/>
        </w:tabs>
        <w:ind w:left="285" w:hanging="285"/>
      </w:pPr>
      <w:rPr>
        <w:rFonts w:ascii="Cambria" w:hAnsi="Cambria" w:cs="Times New Roman" w:hint="default"/>
        <w:b/>
        <w:bCs/>
        <w:sz w:val="24"/>
        <w:szCs w:val="24"/>
      </w:rPr>
    </w:lvl>
    <w:lvl w:ilvl="1">
      <w:start w:val="7"/>
      <w:numFmt w:val="decimal"/>
      <w:isLgl/>
      <w:lvlText w:val="%1.%2"/>
      <w:lvlJc w:val="left"/>
      <w:pPr>
        <w:tabs>
          <w:tab w:val="num" w:pos="795"/>
        </w:tabs>
        <w:ind w:left="795" w:hanging="435"/>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520"/>
        </w:tabs>
        <w:ind w:left="2520" w:hanging="2160"/>
      </w:pPr>
      <w:rPr>
        <w:rFonts w:ascii="Times New Roman" w:hAnsi="Times New Roman" w:cs="Times New Roman"/>
        <w:sz w:val="24"/>
        <w:szCs w:val="24"/>
      </w:rPr>
    </w:lvl>
  </w:abstractNum>
  <w:abstractNum w:abstractNumId="10" w15:restartNumberingAfterBreak="0">
    <w:nsid w:val="482CAED8"/>
    <w:multiLevelType w:val="multilevel"/>
    <w:tmpl w:val="17D5975E"/>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1" w15:restartNumberingAfterBreak="0">
    <w:nsid w:val="5D2CE44E"/>
    <w:multiLevelType w:val="multilevel"/>
    <w:tmpl w:val="117FD6DC"/>
    <w:lvl w:ilvl="0">
      <w:numFmt w:val="bullet"/>
      <w:lvlText w:val="ü"/>
      <w:lvlJc w:val="left"/>
      <w:pPr>
        <w:tabs>
          <w:tab w:val="num" w:pos="990"/>
        </w:tabs>
        <w:ind w:left="990" w:hanging="270"/>
      </w:pPr>
      <w:rPr>
        <w:rFonts w:ascii="Wingdings" w:hAnsi="Wingdings" w:cs="Wingdings"/>
        <w:b/>
        <w:bCs/>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12" w15:restartNumberingAfterBreak="0">
    <w:nsid w:val="77F5E690"/>
    <w:multiLevelType w:val="multilevel"/>
    <w:tmpl w:val="124FF5B6"/>
    <w:lvl w:ilvl="0">
      <w:numFmt w:val="bullet"/>
      <w:lvlText w:val="ü"/>
      <w:lvlJc w:val="left"/>
      <w:pPr>
        <w:tabs>
          <w:tab w:val="num" w:pos="720"/>
        </w:tabs>
        <w:ind w:left="720" w:hanging="360"/>
      </w:pPr>
      <w:rPr>
        <w:rFonts w:ascii="Wingdings" w:hAnsi="Wingdings" w:cs="Wingding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E26C56F"/>
    <w:multiLevelType w:val="multilevel"/>
    <w:tmpl w:val="6785C64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7FC1D841"/>
    <w:multiLevelType w:val="multilevel"/>
    <w:tmpl w:val="45DBA872"/>
    <w:lvl w:ilvl="0">
      <w:numFmt w:val="bullet"/>
      <w:lvlText w:val="·"/>
      <w:lvlJc w:val="left"/>
      <w:pPr>
        <w:tabs>
          <w:tab w:val="num" w:pos="360"/>
        </w:tabs>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16cid:durableId="1652564866">
    <w:abstractNumId w:val="5"/>
  </w:num>
  <w:num w:numId="2" w16cid:durableId="350225362">
    <w:abstractNumId w:val="10"/>
  </w:num>
  <w:num w:numId="3" w16cid:durableId="672145764">
    <w:abstractNumId w:val="6"/>
  </w:num>
  <w:num w:numId="4" w16cid:durableId="835150837">
    <w:abstractNumId w:val="1"/>
  </w:num>
  <w:num w:numId="5" w16cid:durableId="1603418516">
    <w:abstractNumId w:val="14"/>
  </w:num>
  <w:num w:numId="6" w16cid:durableId="1567839625">
    <w:abstractNumId w:val="9"/>
  </w:num>
  <w:num w:numId="7" w16cid:durableId="657927601">
    <w:abstractNumId w:val="13"/>
  </w:num>
  <w:num w:numId="8" w16cid:durableId="409229852">
    <w:abstractNumId w:val="0"/>
  </w:num>
  <w:num w:numId="9" w16cid:durableId="2134324722">
    <w:abstractNumId w:val="7"/>
  </w:num>
  <w:num w:numId="10" w16cid:durableId="1786540690">
    <w:abstractNumId w:val="12"/>
  </w:num>
  <w:num w:numId="11" w16cid:durableId="1759445857">
    <w:abstractNumId w:val="2"/>
  </w:num>
  <w:num w:numId="12" w16cid:durableId="2076246052">
    <w:abstractNumId w:val="11"/>
  </w:num>
  <w:num w:numId="13" w16cid:durableId="457839528">
    <w:abstractNumId w:val="3"/>
  </w:num>
  <w:num w:numId="14" w16cid:durableId="1355224674">
    <w:abstractNumId w:val="4"/>
  </w:num>
  <w:num w:numId="15" w16cid:durableId="1176069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95"/>
    <w:rsid w:val="000A4E3B"/>
    <w:rsid w:val="001D4817"/>
    <w:rsid w:val="00261A25"/>
    <w:rsid w:val="002701BA"/>
    <w:rsid w:val="002C4144"/>
    <w:rsid w:val="00336E0B"/>
    <w:rsid w:val="003E4D4A"/>
    <w:rsid w:val="004306F1"/>
    <w:rsid w:val="004E3BE6"/>
    <w:rsid w:val="00500895"/>
    <w:rsid w:val="00535B9E"/>
    <w:rsid w:val="00590634"/>
    <w:rsid w:val="00632886"/>
    <w:rsid w:val="006539BA"/>
    <w:rsid w:val="006E1FE1"/>
    <w:rsid w:val="006E39F3"/>
    <w:rsid w:val="006F28CE"/>
    <w:rsid w:val="0072449C"/>
    <w:rsid w:val="0084517F"/>
    <w:rsid w:val="00870574"/>
    <w:rsid w:val="00AB1525"/>
    <w:rsid w:val="00AE3866"/>
    <w:rsid w:val="00B259B5"/>
    <w:rsid w:val="00B37DB7"/>
    <w:rsid w:val="00C858DC"/>
    <w:rsid w:val="00D07929"/>
    <w:rsid w:val="00DE3633"/>
    <w:rsid w:val="00ED7E62"/>
    <w:rsid w:val="00EE6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0DEA"/>
  <w15:chartTrackingRefBased/>
  <w15:docId w15:val="{5689E6AD-D34C-4435-9F59-DF11607B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E1"/>
    <w:pPr>
      <w:spacing w:after="200" w:line="276" w:lineRule="auto"/>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ompletat">
    <w:name w:val="De completat"/>
    <w:basedOn w:val="Normal"/>
    <w:link w:val="DecompletatChar"/>
    <w:qFormat/>
    <w:rsid w:val="00EE67CC"/>
    <w:pPr>
      <w:spacing w:after="0"/>
      <w:ind w:firstLine="709"/>
      <w:jc w:val="both"/>
    </w:pPr>
    <w:rPr>
      <w:rFonts w:ascii="Trebuchet MS" w:eastAsia="Calibri" w:hAnsi="Trebuchet MS"/>
      <w:i/>
      <w:color w:val="FF0000"/>
      <w:lang w:val="ro-RO" w:eastAsia="en-US"/>
    </w:rPr>
  </w:style>
  <w:style w:type="character" w:customStyle="1" w:styleId="DecompletatChar">
    <w:name w:val="De completat Char"/>
    <w:link w:val="Decompletat"/>
    <w:rsid w:val="00EE67CC"/>
    <w:rPr>
      <w:rFonts w:ascii="Trebuchet MS" w:eastAsia="Calibri" w:hAnsi="Trebuchet MS" w:cs="Times New Roman"/>
      <w:i/>
      <w:color w:val="FF0000"/>
      <w:lang w:val="ro-RO"/>
    </w:rPr>
  </w:style>
  <w:style w:type="paragraph" w:styleId="Header">
    <w:name w:val="header"/>
    <w:basedOn w:val="Normal"/>
    <w:link w:val="HeaderChar"/>
    <w:uiPriority w:val="99"/>
    <w:unhideWhenUsed/>
    <w:rsid w:val="00261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25"/>
    <w:rPr>
      <w:rFonts w:ascii="Calibri" w:eastAsia="Times New Roman" w:hAnsi="Calibri" w:cs="Times New Roman"/>
      <w:lang w:val="es-ES" w:eastAsia="es-ES"/>
    </w:rPr>
  </w:style>
  <w:style w:type="paragraph" w:styleId="Footer">
    <w:name w:val="footer"/>
    <w:basedOn w:val="Normal"/>
    <w:link w:val="FooterChar"/>
    <w:uiPriority w:val="99"/>
    <w:unhideWhenUsed/>
    <w:rsid w:val="00261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25"/>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7F42-FBAD-4CBF-85F7-8518701C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Yasemin</cp:lastModifiedBy>
  <cp:revision>15</cp:revision>
  <dcterms:created xsi:type="dcterms:W3CDTF">2019-06-11T17:47:00Z</dcterms:created>
  <dcterms:modified xsi:type="dcterms:W3CDTF">2023-10-03T11:57:00Z</dcterms:modified>
</cp:coreProperties>
</file>