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80BE1" w14:textId="4C6B87DE" w:rsidR="00884F5A" w:rsidRPr="005B3A85" w:rsidRDefault="005B3A85" w:rsidP="005B3A85">
      <w:pPr>
        <w:autoSpaceDE w:val="0"/>
        <w:autoSpaceDN w:val="0"/>
        <w:adjustRightInd w:val="0"/>
        <w:spacing w:after="0" w:line="276" w:lineRule="auto"/>
        <w:jc w:val="right"/>
        <w:rPr>
          <w:rFonts w:ascii="Cambria" w:hAnsi="Cambria" w:cs="Trebuchet MS"/>
          <w:b/>
          <w:bCs/>
          <w:sz w:val="24"/>
          <w:szCs w:val="24"/>
          <w:lang w:val="ro-RO"/>
        </w:rPr>
      </w:pPr>
      <w:r w:rsidRPr="005B3A85">
        <w:rPr>
          <w:rFonts w:ascii="Cambria" w:hAnsi="Cambria" w:cs="Trebuchet MS"/>
          <w:b/>
          <w:bCs/>
          <w:sz w:val="24"/>
          <w:szCs w:val="24"/>
          <w:lang w:val="ro-RO"/>
        </w:rPr>
        <w:t>Anexa nr. 3</w:t>
      </w:r>
    </w:p>
    <w:p w14:paraId="0E1C75E8" w14:textId="77777777" w:rsidR="00293DD3" w:rsidRPr="005B3A85" w:rsidRDefault="00293DD3" w:rsidP="005B3A85">
      <w:pPr>
        <w:autoSpaceDE w:val="0"/>
        <w:autoSpaceDN w:val="0"/>
        <w:adjustRightInd w:val="0"/>
        <w:spacing w:after="0" w:line="276" w:lineRule="auto"/>
        <w:jc w:val="right"/>
        <w:rPr>
          <w:rFonts w:ascii="Cambria" w:hAnsi="Cambria" w:cs="Trebuchet MS"/>
          <w:b/>
          <w:bCs/>
          <w:sz w:val="24"/>
          <w:szCs w:val="24"/>
          <w:u w:val="single"/>
          <w:lang w:val="ro-RO"/>
        </w:rPr>
      </w:pPr>
    </w:p>
    <w:p w14:paraId="74E3FD79" w14:textId="77777777" w:rsidR="00527ED7" w:rsidRPr="005B3A85" w:rsidRDefault="00527ED7" w:rsidP="005B3A85">
      <w:pPr>
        <w:autoSpaceDE w:val="0"/>
        <w:autoSpaceDN w:val="0"/>
        <w:adjustRightInd w:val="0"/>
        <w:spacing w:after="0" w:line="276" w:lineRule="auto"/>
        <w:ind w:left="270"/>
        <w:jc w:val="both"/>
        <w:rPr>
          <w:rFonts w:ascii="Cambria" w:eastAsia="Calibri" w:hAnsi="Cambria" w:cs="Trebuchet MS"/>
          <w:sz w:val="24"/>
          <w:szCs w:val="24"/>
          <w:lang w:val="ro-RO"/>
        </w:rPr>
      </w:pPr>
    </w:p>
    <w:p w14:paraId="69801400"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Fişa măsurii: Facilitarea reîntineririi generațiilor din sectoarele agricole din teritoriul GAL „Câmpia Burnazului” – Codul măsurii – M2/2B </w:t>
      </w:r>
    </w:p>
    <w:p w14:paraId="718C2661"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b/>
          <w:bCs/>
          <w:sz w:val="24"/>
          <w:szCs w:val="24"/>
          <w:lang w:val="ro-RO"/>
        </w:rPr>
        <w:t>Tipul măsurii:</w:t>
      </w:r>
      <w:r w:rsidRPr="005B3A85">
        <w:rPr>
          <w:rFonts w:ascii="Cambria" w:eastAsia="Calibri" w:hAnsi="Cambria" w:cs="Trebuchet MS"/>
          <w:sz w:val="24"/>
          <w:szCs w:val="24"/>
          <w:lang w:val="ro-RO"/>
        </w:rPr>
        <w:t xml:space="preserve"> </w:t>
      </w:r>
      <w:r w:rsidRPr="005B3A85">
        <w:rPr>
          <w:rFonts w:ascii="Segoe UI Symbol" w:eastAsia="Calibri" w:hAnsi="Segoe UI Symbol" w:cs="Segoe UI Symbol"/>
          <w:sz w:val="24"/>
          <w:szCs w:val="24"/>
          <w:lang w:val="ro-RO"/>
        </w:rPr>
        <w:t>☐</w:t>
      </w:r>
      <w:r w:rsidRPr="005B3A85">
        <w:rPr>
          <w:rFonts w:ascii="Cambria" w:eastAsia="Calibri" w:hAnsi="Cambria" w:cs="Trebuchet MS"/>
          <w:sz w:val="24"/>
          <w:szCs w:val="24"/>
          <w:lang w:val="ro-RO"/>
        </w:rPr>
        <w:t xml:space="preserve"> INVESTIȚII </w:t>
      </w:r>
    </w:p>
    <w:p w14:paraId="28A94409" w14:textId="77777777" w:rsidR="00AF1E40" w:rsidRPr="005B3A85" w:rsidRDefault="00AF1E40" w:rsidP="005B3A85">
      <w:pPr>
        <w:autoSpaceDE w:val="0"/>
        <w:autoSpaceDN w:val="0"/>
        <w:adjustRightInd w:val="0"/>
        <w:spacing w:after="0" w:line="276" w:lineRule="auto"/>
        <w:ind w:left="705" w:firstLine="705"/>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 </w:t>
      </w:r>
      <w:r w:rsidRPr="005B3A85">
        <w:rPr>
          <w:rFonts w:ascii="Segoe UI Symbol" w:eastAsia="Calibri" w:hAnsi="Segoe UI Symbol" w:cs="Segoe UI Symbol"/>
          <w:sz w:val="24"/>
          <w:szCs w:val="24"/>
          <w:lang w:val="ro-RO"/>
        </w:rPr>
        <w:t>☐</w:t>
      </w:r>
      <w:r w:rsidRPr="005B3A85">
        <w:rPr>
          <w:rFonts w:ascii="Cambria" w:eastAsia="Calibri" w:hAnsi="Cambria" w:cs="Trebuchet MS"/>
          <w:sz w:val="24"/>
          <w:szCs w:val="24"/>
          <w:lang w:val="ro-RO"/>
        </w:rPr>
        <w:t xml:space="preserve"> SERVICII </w:t>
      </w:r>
    </w:p>
    <w:p w14:paraId="00A3DD39" w14:textId="60137BC9" w:rsidR="00AF1E40" w:rsidRDefault="00AF1E40" w:rsidP="005B3A85">
      <w:p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sz w:val="24"/>
          <w:szCs w:val="24"/>
          <w:lang w:val="ro-RO"/>
        </w:rPr>
        <w:t xml:space="preserve"> </w:t>
      </w:r>
      <w:r w:rsidRPr="005B3A85">
        <w:rPr>
          <w:rFonts w:ascii="Cambria" w:eastAsia="Calibri" w:hAnsi="Cambria" w:cs="Trebuchet MS"/>
          <w:sz w:val="24"/>
          <w:szCs w:val="24"/>
          <w:lang w:val="ro-RO"/>
        </w:rPr>
        <w:tab/>
      </w:r>
      <w:r w:rsidRPr="005B3A85">
        <w:rPr>
          <w:rFonts w:ascii="Cambria" w:eastAsia="Calibri" w:hAnsi="Cambria" w:cs="Trebuchet MS"/>
          <w:sz w:val="24"/>
          <w:szCs w:val="24"/>
          <w:lang w:val="ro-RO"/>
        </w:rPr>
        <w:tab/>
        <w:t xml:space="preserve"> </w:t>
      </w:r>
      <w:r w:rsidRPr="005B3A85">
        <w:rPr>
          <w:rFonts w:ascii="Segoe UI Symbol" w:eastAsia="Calibri" w:hAnsi="Segoe UI Symbol" w:cs="Segoe UI Symbol"/>
          <w:b/>
          <w:bCs/>
          <w:sz w:val="24"/>
          <w:szCs w:val="24"/>
          <w:lang w:val="ro-RO"/>
        </w:rPr>
        <w:t>☒</w:t>
      </w:r>
      <w:r w:rsidRPr="005B3A85">
        <w:rPr>
          <w:rFonts w:ascii="Cambria" w:eastAsia="Calibri" w:hAnsi="Cambria" w:cs="Trebuchet MS"/>
          <w:b/>
          <w:bCs/>
          <w:sz w:val="24"/>
          <w:szCs w:val="24"/>
          <w:lang w:val="ro-RO"/>
        </w:rPr>
        <w:t xml:space="preserve"> SPRIJIN FORFETAR</w:t>
      </w:r>
    </w:p>
    <w:p w14:paraId="6680CA40" w14:textId="77777777" w:rsidR="005B3A85" w:rsidRPr="005B3A85" w:rsidRDefault="005B3A85" w:rsidP="005B3A85">
      <w:pPr>
        <w:autoSpaceDE w:val="0"/>
        <w:autoSpaceDN w:val="0"/>
        <w:adjustRightInd w:val="0"/>
        <w:spacing w:after="0" w:line="276" w:lineRule="auto"/>
        <w:jc w:val="both"/>
        <w:rPr>
          <w:rFonts w:ascii="Cambria" w:eastAsia="Calibri" w:hAnsi="Cambria" w:cs="Trebuchet MS"/>
          <w:b/>
          <w:bCs/>
          <w:sz w:val="24"/>
          <w:szCs w:val="24"/>
          <w:lang w:val="ro-RO"/>
        </w:rPr>
      </w:pPr>
    </w:p>
    <w:p w14:paraId="296A7FEB"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DESCRIEREA GENERALĂ A MĂSURII, inclusiv a logicii de intervenție a acesteia și a contribuției la prioritățile strategiei, la domeniile de intervenție, la obiectivele transversale și a complementarității cu alte măsuri din SDL</w:t>
      </w:r>
    </w:p>
    <w:p w14:paraId="75BA144A" w14:textId="77777777" w:rsidR="00AF1E40" w:rsidRPr="005B3A85" w:rsidRDefault="00AF1E40" w:rsidP="005B3A85">
      <w:pPr>
        <w:numPr>
          <w:ilvl w:val="0"/>
          <w:numId w:val="40"/>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Justificare şi corelare cu analiza SWOT</w:t>
      </w:r>
    </w:p>
    <w:p w14:paraId="7EA94FE1"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Sprijinul prin acestă măsură vizează dezvoltarea exploataţiilor vegetale şi fermelor zootehnice din spaţiul rural aferent teritoriului GAL „Câmpia Burnazului” şi sprijin financiar nerambursabil pentru activitatea de înfiinţare şi/sau preluare prin transfer de proprietate şi/sau arendă/concesionare a unei exploataţii, pentru prima dată în calitate de conducător de exploataţie.</w:t>
      </w:r>
    </w:p>
    <w:p w14:paraId="406A7009"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Analizând zona GAL „Câmpia Burnazului” se poate constata că agricultura reprezintă una din principalele ramuri ale economiei locale. Această situaţie este determinată de faptul că suprafaţa agricolă din teritoriul GAL este de 97.254 ha, reprezentând 85,92% din fondul funciar, din care mare parte este suprafaţa arabilă (87.437 ha) şi păşuni (8.260 ha). Se constatată că sectoarele care necesită sprijin şi care reprezintă o posibilitate reală de dezvoltare economică sunt sectoarele vegetal şi zootehnic. Zona GAL „Câmpia Burnazului” prezintă un potenţial ridicat în următoarele sectoare vegetale: legume, cereale păioase, porumb, floarea soarelui, soia, răpită, sfecla de zahăr, mazăre, fasole, lucernă, trifoi, plante medicinale, flori, năut, mazariche, lupin, ricin şi in pentru ulei. (Sursă MADR- AFIR: </w:t>
      </w:r>
      <w:r w:rsidRPr="005B3A85">
        <w:rPr>
          <w:rFonts w:ascii="Cambria" w:eastAsia="Calibri" w:hAnsi="Cambria" w:cs="Trebuchet MS"/>
          <w:color w:val="0563C1"/>
          <w:sz w:val="24"/>
          <w:szCs w:val="24"/>
          <w:u w:val="single"/>
          <w:lang w:val="ro-RO"/>
        </w:rPr>
        <w:t>http://afir.info</w:t>
      </w:r>
      <w:r w:rsidRPr="005B3A85">
        <w:rPr>
          <w:rFonts w:ascii="Cambria" w:eastAsia="Calibri" w:hAnsi="Cambria" w:cs="Trebuchet MS"/>
          <w:sz w:val="24"/>
          <w:szCs w:val="24"/>
          <w:lang w:val="ro-RO"/>
        </w:rPr>
        <w:t xml:space="preserve">). De asemenea, teritoriul regiunii asigură factori propice creşterii animalelor. Rasele preferate pentru o creştere intensivă sunt reprezentate mai ales de ovine (în special rasa: Oaia cu cap negru de Teleorman), bovine, caprine şi porcine. Ţinând cont de această situaţie, exploataţiile agricole din sectorele sus amintite reprezintă o prioritate de dezvoltare pentru GAL „Câmpia Burnazului”. </w:t>
      </w:r>
    </w:p>
    <w:p w14:paraId="4E58E881" w14:textId="77777777" w:rsidR="00AF1E40" w:rsidRPr="005B3A85" w:rsidRDefault="00AF1E40" w:rsidP="005B3A85">
      <w:pPr>
        <w:tabs>
          <w:tab w:val="left" w:pos="135"/>
        </w:tabs>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Însă, la nivelul teritoriului identificăm şi o serie de puncte slabe, cum ar fi: nivelul foarte mare de fragmentare din sectorul agricol, cu o pondere foarte mare a fermelor mici (la nivelul teritoriului GAL, exista 20.522 exploataţii agricole, iar suprafaţa agricolă utilizată ce revine în medie pe o exploataţie agricolă este de 4,73 hectare), dotarea tehnică redusă şi necorespunzătoare, nivelul scăzut de mecanizare şi decalajele tehnologice (la nivel de exploatație se folosesc în medie 2,38 echipamente/exploatație), numărul mare al fermelor de subzistență și semi-subzistență şi menținerea fermele mici și foarte mici, cu un nivel extrem de redus al productivității și eficienței economice, numărul insuficient de tineri fermieri din agricultură. În zona GAL există o tradiţie în creşterea ovinelor și bovinelor, dar producția de carne este slabă, în special în comparație cu cea de la nivelul naţional şi UE. Datorită acestor puncte slabe, agricultura practicată în </w:t>
      </w:r>
      <w:r w:rsidRPr="005B3A85">
        <w:rPr>
          <w:rFonts w:ascii="Cambria" w:eastAsia="Calibri" w:hAnsi="Cambria" w:cs="Trebuchet MS"/>
          <w:sz w:val="24"/>
          <w:szCs w:val="24"/>
          <w:lang w:val="ro-RO"/>
        </w:rPr>
        <w:lastRenderedPageBreak/>
        <w:t>microregiunea GAL „Câmpia Burnazului” a devenit o activitate neatractivă pentru tineret și generatoare de venituri mici și instabile.</w:t>
      </w:r>
    </w:p>
    <w:p w14:paraId="43DC7188" w14:textId="77777777" w:rsidR="00AF1E40" w:rsidRPr="005B3A85" w:rsidRDefault="00AF1E40" w:rsidP="005B3A85">
      <w:pPr>
        <w:tabs>
          <w:tab w:val="left" w:pos="135"/>
        </w:tabs>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De asemenea, la capitolul populaţie identificăm următoarele puncte slabe: tendinţa populaţiei tinere de a migra către zonele urbane, lipsa oportuniţilor de angajare pe piaţa muncii, îmbătrânirea populaţiei rurale, implicit şi a fermierilor, rata deosebit de ridicată a şomajului (11,09%), nivel scăzut de calificare.</w:t>
      </w:r>
    </w:p>
    <w:p w14:paraId="3CE219BF" w14:textId="77777777" w:rsidR="00AF1E40" w:rsidRPr="005B3A85" w:rsidRDefault="00AF1E40" w:rsidP="005B3A85">
      <w:pPr>
        <w:tabs>
          <w:tab w:val="left" w:pos="135"/>
        </w:tabs>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Astfel, reînnoirea generaţiilor de şefi de exploataţii agricole reprezintă o necesitate a sectorului agricol, având ca efect creşterea economică şi dezvoltarea în zona GAL prin îmbunătăţirea sustenabilităţii, competitivităţii şi eficienţei resurselor. Generaţia tânără de fermieri poate să îndeplinească mai uşor cerinţele pe care societatea le solicită profesiei de agricultor şi totodată şi pe cele cerute prin regulamentele Politicii Agricole Comune: securitate alimentară, igienă şi bunăstare a animalelor, diversificare, obţinere de produse locale de calitate superioară, conştientizare a rolului pe care îl joacă agricultura în combaterea schimbărilor de climă (utilizarea energiei regenerabile, biodiversitate, reducerea emisiilor de dioxid de carbon), creare de locuri de muncă şi creştere economică în mediul rural, conştientizarea efectelor negative determinate de abandonul terenurilor agricole. De asemenea, prin această măsura se urmăreşte diminuarea tendinței de scădere a populaţiei din mediul rural, în special a tinerilor și a persoanelor care deţin diferite competențe prin motivarea acestora de a locui în zona GAL.</w:t>
      </w:r>
    </w:p>
    <w:p w14:paraId="49028F20" w14:textId="77777777" w:rsidR="00AF1E40" w:rsidRPr="005B3A85" w:rsidRDefault="00AF1E40" w:rsidP="005B3A85">
      <w:pPr>
        <w:numPr>
          <w:ilvl w:val="0"/>
          <w:numId w:val="40"/>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Obiectiv(e) de dezvoltare rurală </w:t>
      </w:r>
    </w:p>
    <w:p w14:paraId="02399732"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Măsura M2/2B contribuie la următoarele obiective de dezvoltare rurală ale Reg (UE) nr. 1305/2013: </w:t>
      </w:r>
    </w:p>
    <w:p w14:paraId="766A0119" w14:textId="77777777" w:rsidR="00AF1E40" w:rsidRPr="005B3A85" w:rsidRDefault="00AF1E40" w:rsidP="005B3A85">
      <w:pPr>
        <w:numPr>
          <w:ilvl w:val="0"/>
          <w:numId w:val="41"/>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favorizarea competitivităţii agriculturii; </w:t>
      </w:r>
    </w:p>
    <w:p w14:paraId="5BB9152B" w14:textId="77777777" w:rsidR="00AF1E40" w:rsidRPr="005B3A85" w:rsidRDefault="00AF1E40" w:rsidP="005B3A85">
      <w:pPr>
        <w:numPr>
          <w:ilvl w:val="0"/>
          <w:numId w:val="41"/>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obţinerea unei dezvoltări teritoriale echilibrate a economiilor și comunităților rurale, inclusiv crearea și menținerea de locuri de muncă”. </w:t>
      </w:r>
    </w:p>
    <w:p w14:paraId="666DF18E" w14:textId="77777777" w:rsidR="00AF1E40" w:rsidRPr="005B3A85" w:rsidRDefault="00AF1E40" w:rsidP="005B3A85">
      <w:pPr>
        <w:numPr>
          <w:ilvl w:val="0"/>
          <w:numId w:val="40"/>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Obiective specifice/locale ale măsurii: </w:t>
      </w:r>
    </w:p>
    <w:p w14:paraId="22D8B3BF" w14:textId="77777777" w:rsidR="00AF1E40" w:rsidRPr="005B3A85" w:rsidRDefault="00AF1E40" w:rsidP="005B3A85">
      <w:pPr>
        <w:tabs>
          <w:tab w:val="left" w:pos="270"/>
          <w:tab w:val="left" w:pos="360"/>
          <w:tab w:val="left" w:pos="1530"/>
        </w:tabs>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Instalarea pentru prima dată a tinerilor fermieri, ca şefi/manageri ai unei exploataţii agricole din sectoarele vegetal şi zootehnic; îmbunătăţirea managementului, creşterea competitivităţii sectoarelor vegetal şi zootehnic, susţine procesul de modernizare, precum şi conformitatea cu cerinţele de protecţie a mediului; reducerea fenomenului de migrare a tinerilor din teritoriul GAL;</w:t>
      </w:r>
    </w:p>
    <w:p w14:paraId="6E747416" w14:textId="77777777" w:rsidR="00AF1E40" w:rsidRPr="005B3A85" w:rsidRDefault="00AF1E40" w:rsidP="005B3A85">
      <w:pPr>
        <w:numPr>
          <w:ilvl w:val="0"/>
          <w:numId w:val="40"/>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Contribuţie la prioritatea/priorităţile prevăzute în art. 5, Reg. (UE) nr. 1305/2013</w:t>
      </w:r>
    </w:p>
    <w:p w14:paraId="049657B2"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Măsura contribuie la </w:t>
      </w:r>
      <w:r w:rsidRPr="005B3A85">
        <w:rPr>
          <w:rFonts w:ascii="Cambria" w:eastAsia="Calibri" w:hAnsi="Cambria" w:cs="Trebuchet MS"/>
          <w:b/>
          <w:bCs/>
          <w:sz w:val="24"/>
          <w:szCs w:val="24"/>
          <w:lang w:val="ro-RO"/>
        </w:rPr>
        <w:t>Prioritatea 2: Creșterea viabilității exploatațiilor și a competitivității tuturor tipurilor de agricultură în toate regiunile și promovarea tehnologiilor agricole inovatoare şi a gestionării durabile a pădurilor</w:t>
      </w:r>
      <w:r w:rsidRPr="005B3A85">
        <w:rPr>
          <w:rFonts w:ascii="Cambria" w:eastAsia="Calibri" w:hAnsi="Cambria" w:cs="Trebuchet MS"/>
          <w:sz w:val="24"/>
          <w:szCs w:val="24"/>
          <w:lang w:val="ro-RO"/>
        </w:rPr>
        <w:t>;</w:t>
      </w:r>
    </w:p>
    <w:p w14:paraId="16AF0A21" w14:textId="717DC99B" w:rsidR="00AF1E40" w:rsidRPr="005B3A85" w:rsidRDefault="00AF1E40" w:rsidP="005B3A85">
      <w:pPr>
        <w:numPr>
          <w:ilvl w:val="0"/>
          <w:numId w:val="40"/>
        </w:numPr>
        <w:tabs>
          <w:tab w:val="clear" w:pos="720"/>
        </w:tabs>
        <w:autoSpaceDE w:val="0"/>
        <w:autoSpaceDN w:val="0"/>
        <w:adjustRightInd w:val="0"/>
        <w:spacing w:after="0" w:line="276" w:lineRule="auto"/>
        <w:ind w:left="0" w:firstLine="360"/>
        <w:jc w:val="both"/>
        <w:rPr>
          <w:rFonts w:ascii="Cambria" w:eastAsia="Calibri" w:hAnsi="Cambria" w:cs="Trebuchet MS"/>
          <w:sz w:val="24"/>
          <w:szCs w:val="24"/>
          <w:lang w:val="ro-RO"/>
        </w:rPr>
      </w:pPr>
      <w:r w:rsidRPr="005B3A85">
        <w:rPr>
          <w:rFonts w:ascii="Cambria" w:eastAsia="Calibri" w:hAnsi="Cambria" w:cs="Trebuchet MS"/>
          <w:b/>
          <w:bCs/>
          <w:sz w:val="24"/>
          <w:szCs w:val="24"/>
          <w:lang w:val="ro-RO"/>
        </w:rPr>
        <w:t>Măsura corespunde obiectivelor art. 19 din Reg. (UE) 1305/2013</w:t>
      </w:r>
      <w:r w:rsidRPr="005B3A85">
        <w:rPr>
          <w:rFonts w:ascii="Cambria" w:eastAsia="Calibri" w:hAnsi="Cambria" w:cs="Trebuchet MS"/>
          <w:sz w:val="24"/>
          <w:szCs w:val="24"/>
          <w:lang w:val="ro-RO"/>
        </w:rPr>
        <w:t xml:space="preserve"> „Dezvoltarea exploatațiilor și a întreprinderilor”; </w:t>
      </w:r>
    </w:p>
    <w:p w14:paraId="54244BE2" w14:textId="77777777" w:rsidR="00AF1E40" w:rsidRPr="005B3A85" w:rsidRDefault="00AF1E40" w:rsidP="005B3A85">
      <w:pPr>
        <w:numPr>
          <w:ilvl w:val="0"/>
          <w:numId w:val="40"/>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Contribuţie la Domeniul de intervenţie</w:t>
      </w:r>
    </w:p>
    <w:p w14:paraId="0F800A46"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Măsura contribuie la domeniu de intervenţie </w:t>
      </w:r>
      <w:r w:rsidRPr="005B3A85">
        <w:rPr>
          <w:rFonts w:ascii="Cambria" w:eastAsia="Calibri" w:hAnsi="Cambria" w:cs="Trebuchet MS"/>
          <w:b/>
          <w:bCs/>
          <w:sz w:val="24"/>
          <w:szCs w:val="24"/>
          <w:lang w:val="ro-RO"/>
        </w:rPr>
        <w:t>2B) Facilitarea intrării în sectorul agricol a unor fermieri calificați corespunzător și, în special, a reînnoirii generațiilor</w:t>
      </w:r>
      <w:r w:rsidRPr="005B3A85">
        <w:rPr>
          <w:rFonts w:ascii="Cambria" w:eastAsia="Calibri" w:hAnsi="Cambria" w:cs="Trebuchet MS"/>
          <w:sz w:val="24"/>
          <w:szCs w:val="24"/>
          <w:lang w:val="ro-RO"/>
        </w:rPr>
        <w:t>.</w:t>
      </w:r>
    </w:p>
    <w:p w14:paraId="3E16EBDB" w14:textId="77777777" w:rsidR="00AF1E40" w:rsidRPr="005B3A85" w:rsidRDefault="00AF1E40" w:rsidP="005B3A85">
      <w:pPr>
        <w:numPr>
          <w:ilvl w:val="0"/>
          <w:numId w:val="42"/>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Contribuţie la obiective transversale ale Reg. (UE) nr. 1305/2013</w:t>
      </w:r>
    </w:p>
    <w:p w14:paraId="106314E4"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b/>
          <w:bCs/>
          <w:sz w:val="24"/>
          <w:szCs w:val="24"/>
          <w:lang w:val="ro-RO"/>
        </w:rPr>
        <w:lastRenderedPageBreak/>
        <w:t xml:space="preserve">Măsura contribuie la obiectivele transversale </w:t>
      </w:r>
      <w:r w:rsidRPr="005B3A85">
        <w:rPr>
          <w:rFonts w:ascii="Cambria" w:eastAsia="Calibri" w:hAnsi="Cambria" w:cs="Trebuchet MS"/>
          <w:sz w:val="24"/>
          <w:szCs w:val="24"/>
          <w:lang w:val="ro-RO"/>
        </w:rPr>
        <w:t xml:space="preserve">legate de inovare, de protecția mediului și de atenuarea schimbărilor climatice și de adaptarea la acestea, astfel: </w:t>
      </w:r>
    </w:p>
    <w:p w14:paraId="44252A9F"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Inovare: </w:t>
      </w:r>
    </w:p>
    <w:p w14:paraId="60E0EDA7"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Tinerii fermieri sunt mai deschiși să aplice tehnologii şi procese noi şi au acces mai facil la informații noi, inovatoare. În procesul de evaluare a proiectului, se va stabili un criteriu de selecţie cu privire la acele proiecte care promovează activităţi inovative. Utilizarea de tehnologii inovatoare va fi reflectată în efecte socio-economice și de mediu, cum ar fi: creșterea producției, reducerea consumului de combustibil, îmbunătățirea condițiilor de lucru ale fermierilor, menținerea structurii solului, conservarea și îmbunătățirea caracteristicilor solului, scădere semnificativă a riscului de eroziune, creșterea rezervei de apă din sol, etc.</w:t>
      </w:r>
    </w:p>
    <w:p w14:paraId="53F01456" w14:textId="77777777" w:rsidR="00AF1E40" w:rsidRPr="005B3A85" w:rsidRDefault="00AF1E40" w:rsidP="005B3A85">
      <w:pPr>
        <w:tabs>
          <w:tab w:val="left" w:pos="285"/>
        </w:tabs>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Mediu şi atenuarea şi adaptarea la schimbările climatice:</w:t>
      </w:r>
    </w:p>
    <w:p w14:paraId="3C4901D5" w14:textId="77777777" w:rsidR="00AF1E40" w:rsidRPr="005B3A85" w:rsidRDefault="00AF1E40" w:rsidP="005B3A85">
      <w:pPr>
        <w:tabs>
          <w:tab w:val="left" w:pos="285"/>
        </w:tabs>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În procesul de evaluare a proiectului, se va stabili un criteriu de selecţie cu privire la acele proiecte care promovează activităţi prietenoase cu mediul înconjurător, ca de exemplu soiuri rezistente la secetă, tehnici şi sisteme cu un număr limitat de intervenții asupra solului, contribuind astfel la reducerea pierderilor de apă și a degradării solului și la conservarea și promovarea patrimoniului genetic local, dotarea clădirilor cu sisteme care utilizează energie regenerabilă, un management corespunzător al deșeurilor. De asemenea, măsura M2/2B va contribui la scăderea fenomenului de abandon al terenurilor agricole. </w:t>
      </w:r>
    </w:p>
    <w:p w14:paraId="57D81302" w14:textId="77777777" w:rsidR="00AF1E40" w:rsidRPr="005B3A85" w:rsidRDefault="00AF1E40" w:rsidP="005B3A85">
      <w:pPr>
        <w:numPr>
          <w:ilvl w:val="0"/>
          <w:numId w:val="42"/>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Complementaritatea cu alte măsuri din SDL</w:t>
      </w:r>
    </w:p>
    <w:p w14:paraId="175E0A46"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Măsura M2/2B este complementară cu M1/1C deoarece beneficiarii direcţi ai acestei măsuri sunt incluşi în categoria de beneficiari indirecţi ai măsurii M1/1C. Baza introducerii şi realizării acestei măsuri o constituie Măsura M1/1C, având rolul de pregătire; de fapt Măsura M1/1C este precondiţia accesării acestei măsuri. Luând parte la cursurile de formare profesională, tinerii fermieri vor acumula cunoştinţe specifice pe care le vor putea utiliza în scopul dezvoltării activităţii/întreprinderii lor.</w:t>
      </w:r>
    </w:p>
    <w:p w14:paraId="0DBCCB0B"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De asemenea, măsura M2/2B poate fi complementară cu măsurile M3/3A, M4/3A şi M5/3A, beneficiarii acesteia putând adera la o formă asociativă ce aplică pe măsura adresată acestora sau îşi pot certifica produsele accesând măsura de scheme de calitate.    </w:t>
      </w:r>
    </w:p>
    <w:p w14:paraId="1EC60D89"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Valoarea adăugată a măsurii </w:t>
      </w:r>
    </w:p>
    <w:p w14:paraId="2F01FE83"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Tinerii fermieri vor fi încurajați să promoveze lanțurile scurte de aprovizionare, să îşi sporească gradul de orientare spre parteneriate. De asemenea, măsură va contribui la crearea de locuri de muncă, la creşterea veniturilor, dând posibilitatea dezvoltării ulterioare şi de alte activităţi (non agricole), toate acestea cumulate având un efect pozitiv asupra economiei din teritoriu, conferindu-i plus valoare. Vor fi finanţate cu prioritate proiectele care promovează preluarea de  metode moderne şi inovative şi acţiuni de atenuare a schimbărilor climatice şi aspecte legate de protecţia mediului.</w:t>
      </w:r>
    </w:p>
    <w:p w14:paraId="7A8DB4D6"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b/>
          <w:bCs/>
          <w:sz w:val="24"/>
          <w:szCs w:val="24"/>
          <w:lang w:val="ro-RO"/>
        </w:rPr>
        <w:t xml:space="preserve">Trimiteri la alte acte legislative: </w:t>
      </w:r>
      <w:r w:rsidRPr="005B3A85">
        <w:rPr>
          <w:rFonts w:ascii="Cambria" w:eastAsia="Calibri" w:hAnsi="Cambria" w:cs="Trebuchet MS"/>
          <w:sz w:val="24"/>
          <w:szCs w:val="24"/>
          <w:lang w:val="ro-RO"/>
        </w:rPr>
        <w:t>R (UE) nr. 1307/2013, Recomandarea 2003/361/CE, R (CE) nr. 1242/2008, R (UE) nr. 1303/2013, Actul Delegat (UE) nr. 480/2014, R (UE) nr. 215/2014; Legea nr. 346/2004, OUG nr. 44/2008, OUG nr. 8/2013, OUG nr. 129/2000 aprobată cu modificări și completări prin Legea nr. 375/2002, OUG nr. 76/2004.</w:t>
      </w:r>
    </w:p>
    <w:p w14:paraId="295F805C"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Beneficiari direcți/indirecți (grup țintă) </w:t>
      </w:r>
    </w:p>
    <w:p w14:paraId="4FCC24C2"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u w:val="single"/>
          <w:lang w:val="ro-RO"/>
        </w:rPr>
      </w:pPr>
      <w:r w:rsidRPr="005B3A85">
        <w:rPr>
          <w:rFonts w:ascii="Cambria" w:eastAsia="Calibri" w:hAnsi="Cambria" w:cs="Trebuchet MS"/>
          <w:sz w:val="24"/>
          <w:szCs w:val="24"/>
          <w:u w:val="single"/>
          <w:lang w:val="ro-RO"/>
        </w:rPr>
        <w:lastRenderedPageBreak/>
        <w:t>Beneficiari direcţi:</w:t>
      </w:r>
    </w:p>
    <w:p w14:paraId="65AB106C" w14:textId="77777777" w:rsidR="00AF1E40" w:rsidRPr="005B3A85" w:rsidRDefault="00AF1E40" w:rsidP="005B3A85">
      <w:pPr>
        <w:numPr>
          <w:ilvl w:val="0"/>
          <w:numId w:val="43"/>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persoana cu vârsta până în 40 de ani (inclusiv cu o zi înainte de a împlini 41 de ani) la momentul depunerii cererii, care deţine competentele şi calificările profesionale adecvate şi care se stabileşte pentru prima dată într-o exploataţie agricolă ca şef al respectivei exploataţii;  </w:t>
      </w:r>
    </w:p>
    <w:p w14:paraId="6EA1F94A"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u w:val="single"/>
          <w:lang w:val="ro-RO"/>
        </w:rPr>
      </w:pPr>
      <w:r w:rsidRPr="005B3A85">
        <w:rPr>
          <w:rFonts w:ascii="Cambria" w:eastAsia="Calibri" w:hAnsi="Cambria" w:cs="Trebuchet MS"/>
          <w:sz w:val="24"/>
          <w:szCs w:val="24"/>
          <w:u w:val="single"/>
          <w:lang w:val="ro-RO"/>
        </w:rPr>
        <w:t>Beneficiari indirecţi:</w:t>
      </w:r>
    </w:p>
    <w:p w14:paraId="56E587F7" w14:textId="77777777" w:rsidR="00AF1E40" w:rsidRPr="005B3A85" w:rsidRDefault="00AF1E40" w:rsidP="005B3A85">
      <w:pPr>
        <w:numPr>
          <w:ilvl w:val="0"/>
          <w:numId w:val="43"/>
        </w:numPr>
        <w:tabs>
          <w:tab w:val="left" w:pos="450"/>
        </w:tabs>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consumatorii, autoritățile prin fiscalizarea afacerilor agricole, furnizorii entităţilor juridice care implementează proiecte prin această măsură, etc.</w:t>
      </w:r>
    </w:p>
    <w:p w14:paraId="3E9DE0C7"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Tip de sprijin </w:t>
      </w:r>
    </w:p>
    <w:p w14:paraId="49C50829"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Sprijin la instalare: sprijinul va fi acordat sub formă de sumă forfetară pentru implementarea obiectivelor prevăzute în planul de afaceri pentru a facilita tânărului fermier începerea activităților agricole.</w:t>
      </w:r>
    </w:p>
    <w:p w14:paraId="26D6ECE1"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Tipuri de acțiuni eligibile și neeligibile </w:t>
      </w:r>
    </w:p>
    <w:p w14:paraId="1E4A415E"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Acțiuni eligibile: </w:t>
      </w:r>
    </w:p>
    <w:p w14:paraId="21BA6D85"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Sprijinul se acordă în vederea facilitării stabilirii tânărului fermier în baza Planului de Afaceri (PA). Toate cheltuielile propuse în PA, </w:t>
      </w:r>
      <w:bookmarkStart w:id="0" w:name="_Hlk116648213"/>
      <w:r w:rsidRPr="005B3A85">
        <w:rPr>
          <w:rFonts w:ascii="Cambria" w:eastAsia="Calibri" w:hAnsi="Cambria" w:cs="Trebuchet MS"/>
          <w:sz w:val="24"/>
          <w:szCs w:val="24"/>
          <w:lang w:val="ro-RO"/>
        </w:rPr>
        <w:t>inclusiv capitalul de lucru şi activităţile relevante pentru implementarea corectă a PA aprobat pot fi eligibile, indiferent de natura acestora</w:t>
      </w:r>
      <w:bookmarkEnd w:id="0"/>
      <w:r w:rsidRPr="005B3A85">
        <w:rPr>
          <w:rFonts w:ascii="Cambria" w:eastAsia="Calibri" w:hAnsi="Cambria" w:cs="Trebuchet MS"/>
          <w:sz w:val="24"/>
          <w:szCs w:val="24"/>
          <w:lang w:val="ro-RO"/>
        </w:rPr>
        <w:t>.</w:t>
      </w:r>
    </w:p>
    <w:p w14:paraId="08084DE7"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Condiții de eligibilitate </w:t>
      </w:r>
    </w:p>
    <w:p w14:paraId="41A14E71"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Solicitantul trebuie să se încadreze în categoria microîntreprinderilor şi întreprinderilor mici; </w:t>
      </w:r>
    </w:p>
    <w:p w14:paraId="441F439A" w14:textId="77777777" w:rsidR="00231A95"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Pentru proiectele finanțate din fonduri FEADR 2014-2020: Solicitantul deţine o exploataţie agricolă cu dimensiunea economică conforma cu capitolul 8.1 din PNDR 2014-2020;</w:t>
      </w:r>
      <w:r w:rsidRPr="005B3A85">
        <w:rPr>
          <w:rFonts w:ascii="Cambria" w:hAnsi="Cambria"/>
          <w:sz w:val="24"/>
          <w:szCs w:val="24"/>
          <w:lang w:val="ro-RO"/>
        </w:rPr>
        <w:t xml:space="preserve"> </w:t>
      </w:r>
      <w:r w:rsidRPr="005B3A85">
        <w:rPr>
          <w:rFonts w:ascii="Cambria" w:eastAsia="Calibri" w:hAnsi="Cambria" w:cs="Trebuchet MS"/>
          <w:sz w:val="24"/>
          <w:szCs w:val="24"/>
          <w:lang w:val="ro-RO"/>
        </w:rPr>
        <w:t>Pentru proiectele finanțate din fonduri FEADR 2021-2022: solicitantul trebuie să se afle în proces de instalare într-o exploatație agricolă situată pe teritoriul GAL, cu dimensiunea economică minimă de 8.000 SO;</w:t>
      </w:r>
    </w:p>
    <w:p w14:paraId="644B0F61" w14:textId="01AC254A"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Solicitantul să prezinte un plan de afaceri;</w:t>
      </w:r>
    </w:p>
    <w:p w14:paraId="2E99DD46"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Solicitantul deține competențe și aptitudini profesionale;</w:t>
      </w:r>
    </w:p>
    <w:p w14:paraId="5FCA8285"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Solicitantul se angajează să devină fermier activ în termen de maximum 18 luni de la data instalării;</w:t>
      </w:r>
    </w:p>
    <w:p w14:paraId="76FE1C14"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Beneficiarul să aibă domiciliul în teritoriul GAL;</w:t>
      </w:r>
    </w:p>
    <w:p w14:paraId="0D881D76"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Proiectul să se implementeze în teritoriul GAL şi toate cheltuielile aferente implementării proiectului să fie efectuate pe teritoriul GAL;</w:t>
      </w:r>
    </w:p>
    <w:p w14:paraId="39DEE473"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Solicitantul se angajează să participe la unul din cursurile realizate pe Măsura M1/1A – condiția de elibilitate se aplică doar pentru proiectele finanțate din fonduri FEADR 2014-2020;</w:t>
      </w:r>
    </w:p>
    <w:p w14:paraId="36EEEC8A"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Pentru proiectele finanțate din fonduri FEADR 2014-2020: Înaintea solicitării celei de-a doua tranșe de plată, solicitantul face dovada creşterii performanţelor economice ale exploatației, prin comercializarea producției proprii în procent de minimum 20% din valoarea primei tranșe de plată (cerința va fi verificată în momentul finalizării implementării planului de afaceri); Pentru proiectele finanțate din fonduri FEADR 2020-2021: Înaintea solicitării celei de-a doua tranșe de plată, solicitantul face dovada creşterii performanţelor economice ale exploatației, prin comercializarea producției proprii în procent de minimum 10% din valoarea primei </w:t>
      </w:r>
      <w:r w:rsidRPr="005B3A85">
        <w:rPr>
          <w:rFonts w:ascii="Cambria" w:eastAsia="Calibri" w:hAnsi="Cambria" w:cs="Trebuchet MS"/>
          <w:sz w:val="24"/>
          <w:szCs w:val="24"/>
          <w:lang w:val="ro-RO"/>
        </w:rPr>
        <w:lastRenderedPageBreak/>
        <w:t>tranșe de plată (cerința va fi verificată în momentul finalizării implementării planului de afaceri);</w:t>
      </w:r>
    </w:p>
    <w:p w14:paraId="06F53F08"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Planul de afaceri vă prevede în mod obligatoriu amenajări de gestionare a gunoiului de grajd, conform normelor de mediu.</w:t>
      </w:r>
    </w:p>
    <w:p w14:paraId="097FC1AB"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Criterii de selecție </w:t>
      </w:r>
    </w:p>
    <w:p w14:paraId="05357399"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Principiul sectorului prioritar (sector prioritar în domeniul vegetal: legume crescute în sere; sector prioritar în domeniul zootehnic: rasa Oaia cu cap negru de Teleorman);</w:t>
      </w:r>
    </w:p>
    <w:p w14:paraId="6EA06A14"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Principiul nivelului de calificare;</w:t>
      </w:r>
    </w:p>
    <w:p w14:paraId="1B1275A2"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Principiul raselor/soiurilor autohtone;</w:t>
      </w:r>
    </w:p>
    <w:p w14:paraId="2E377EC7"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Proiecte ce promovează acţiuni inovative (introducerea de noi tehnologii sau noi activităţi);</w:t>
      </w:r>
    </w:p>
    <w:p w14:paraId="2207513E"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Proiecte ce promovează acţiuni de atenuare a schimbărilor climatice şi aspecte legate de protecţia mediului;</w:t>
      </w:r>
    </w:p>
    <w:p w14:paraId="0DC46CCD"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Solicitantul face parte dintr-o formă asociativă, recunoscută conform legislației în vigoare;</w:t>
      </w:r>
    </w:p>
    <w:p w14:paraId="438EAD91"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Exploataţii în sistem ecologic;</w:t>
      </w:r>
    </w:p>
    <w:p w14:paraId="53A57D40"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Proiectele care au şi investiţii pentru procesarea produselor;</w:t>
      </w:r>
    </w:p>
    <w:p w14:paraId="0EC2D778"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Numărul de locuri de muncă create.</w:t>
      </w:r>
    </w:p>
    <w:p w14:paraId="63D0DA8D"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Sume (aplicabile) și rata sprijinului </w:t>
      </w:r>
    </w:p>
    <w:p w14:paraId="5E5D49C2"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Sprijinul public nerambursabil din fondurile FEADR 2014-2020 se acordă pentru o perioadă de maxim trei ani ş</w:t>
      </w:r>
      <w:bookmarkStart w:id="1" w:name="_GoBack"/>
      <w:bookmarkEnd w:id="1"/>
      <w:r w:rsidRPr="005B3A85">
        <w:rPr>
          <w:rFonts w:ascii="Cambria" w:eastAsia="Calibri" w:hAnsi="Cambria" w:cs="Trebuchet MS"/>
          <w:sz w:val="24"/>
          <w:szCs w:val="24"/>
          <w:lang w:val="ro-RO"/>
        </w:rPr>
        <w:t>i este de 20.000 de euro/proiect.</w:t>
      </w:r>
    </w:p>
    <w:p w14:paraId="3BE37EF4"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Sprijinul public nerambursabil din fondurile FEADR 2021-2022 se acordă pentru o perioadă de maxim trei ani şi este de 40.000 euro/proiect.</w:t>
      </w:r>
    </w:p>
    <w:p w14:paraId="218A2A90"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Sprijinul pentru instalarea tinerilor fermieri se va acorda sub formă de primă în două tranșe, astfel: 75% din cuantumul sprijinului la semnarea deciziei de finanțare; 25% din cuantumul sprijinului se va acorda cu condiția implementării corecte a planului de afaceri, fără a depăși trei ani de la semnarea deciziei de finanțare.</w:t>
      </w:r>
    </w:p>
    <w:p w14:paraId="4C8F9A92"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În cazul neimplementării corecte a planului de afaceri, sumele plătite vor fi recuperate proporțional cu obiectivele nerealizate.</w:t>
      </w:r>
    </w:p>
    <w:p w14:paraId="3C29BF16"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Indicatori de monitorizare </w:t>
      </w:r>
    </w:p>
    <w:p w14:paraId="289485FC" w14:textId="77777777" w:rsidR="00AF1E40" w:rsidRPr="005B3A85" w:rsidRDefault="00AF1E40" w:rsidP="005B3A85">
      <w:pPr>
        <w:numPr>
          <w:ilvl w:val="0"/>
          <w:numId w:val="46"/>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Numărul de exploataţii agricole/beneficiari sprijiniţi: 3</w:t>
      </w:r>
    </w:p>
    <w:p w14:paraId="64E4E9F7" w14:textId="77777777" w:rsidR="00AF1E40" w:rsidRPr="005B3A85" w:rsidRDefault="00AF1E40" w:rsidP="005B3A85">
      <w:pPr>
        <w:numPr>
          <w:ilvl w:val="0"/>
          <w:numId w:val="46"/>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Numărul de locuri de muncă nou create: 3</w:t>
      </w:r>
    </w:p>
    <w:p w14:paraId="3CF08544" w14:textId="77777777" w:rsidR="00AF1E40" w:rsidRPr="005B3A85" w:rsidRDefault="00AF1E40" w:rsidP="005B3A85">
      <w:pPr>
        <w:numPr>
          <w:ilvl w:val="0"/>
          <w:numId w:val="46"/>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Numărul de exploataţii care promovează tehnologii/procese inovative: 1;</w:t>
      </w:r>
    </w:p>
    <w:p w14:paraId="7235680D" w14:textId="77777777" w:rsidR="00AF1E40" w:rsidRPr="005B3A85" w:rsidRDefault="00AF1E40" w:rsidP="005B3A85">
      <w:pPr>
        <w:numPr>
          <w:ilvl w:val="0"/>
          <w:numId w:val="46"/>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Numărul de exploataţii care promovează tehnologii prietenoase cu mediu: 1</w:t>
      </w:r>
    </w:p>
    <w:p w14:paraId="05E5BF93" w14:textId="77777777" w:rsidR="00884F5A" w:rsidRPr="005B3A85" w:rsidRDefault="00AF1E40" w:rsidP="005B3A85">
      <w:pPr>
        <w:numPr>
          <w:ilvl w:val="0"/>
          <w:numId w:val="46"/>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Cheltuiala publică totală pentru fondurile FEADR: 500.000,00 Euro din care 440.000,00 Euro din FEADR 2021-2022 (Alocarea inițială: 60.000,00 Euro; Alocarea propusă: 500.000,00 Euro).</w:t>
      </w:r>
    </w:p>
    <w:sectPr w:rsidR="00884F5A" w:rsidRPr="005B3A85" w:rsidSect="00527ED7">
      <w:footerReference w:type="default" r:id="rId7"/>
      <w:pgSz w:w="11906" w:h="16838"/>
      <w:pgMar w:top="90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26518" w14:textId="77777777" w:rsidR="008A0244" w:rsidRDefault="008A0244" w:rsidP="00C55F73">
      <w:pPr>
        <w:spacing w:after="0" w:line="240" w:lineRule="auto"/>
      </w:pPr>
      <w:r>
        <w:separator/>
      </w:r>
    </w:p>
  </w:endnote>
  <w:endnote w:type="continuationSeparator" w:id="0">
    <w:p w14:paraId="4D81108B" w14:textId="77777777" w:rsidR="008A0244" w:rsidRDefault="008A0244" w:rsidP="00C5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928"/>
      <w:gridCol w:w="314"/>
    </w:tblGrid>
    <w:sdt>
      <w:sdtPr>
        <w:rPr>
          <w:rFonts w:asciiTheme="majorHAnsi" w:eastAsiaTheme="majorEastAsia" w:hAnsiTheme="majorHAnsi" w:cstheme="majorBidi"/>
          <w:sz w:val="20"/>
          <w:szCs w:val="20"/>
        </w:rPr>
        <w:id w:val="1107704481"/>
        <w:docPartObj>
          <w:docPartGallery w:val="Page Numbers (Bottom of Page)"/>
          <w:docPartUnique/>
        </w:docPartObj>
      </w:sdtPr>
      <w:sdtEndPr>
        <w:rPr>
          <w:rFonts w:asciiTheme="minorHAnsi" w:eastAsiaTheme="minorHAnsi" w:hAnsiTheme="minorHAnsi" w:cstheme="minorBidi"/>
          <w:noProof/>
          <w:sz w:val="22"/>
          <w:szCs w:val="22"/>
        </w:rPr>
      </w:sdtEndPr>
      <w:sdtContent>
        <w:tr w:rsidR="00C55F73" w14:paraId="19D2797D" w14:textId="77777777" w:rsidTr="00C55F73">
          <w:trPr>
            <w:trHeight w:val="727"/>
          </w:trPr>
          <w:tc>
            <w:tcPr>
              <w:tcW w:w="4830" w:type="pct"/>
              <w:tcBorders>
                <w:right w:val="triple" w:sz="4" w:space="0" w:color="5B9BD5" w:themeColor="accent1"/>
              </w:tcBorders>
            </w:tcPr>
            <w:p w14:paraId="3CD19D8B" w14:textId="77777777" w:rsidR="00C55F73" w:rsidRDefault="00C55F73">
              <w:pPr>
                <w:tabs>
                  <w:tab w:val="left" w:pos="620"/>
                  <w:tab w:val="center" w:pos="4320"/>
                </w:tabs>
                <w:jc w:val="right"/>
                <w:rPr>
                  <w:rFonts w:asciiTheme="majorHAnsi" w:eastAsiaTheme="majorEastAsia" w:hAnsiTheme="majorHAnsi" w:cstheme="majorBidi"/>
                  <w:sz w:val="20"/>
                  <w:szCs w:val="20"/>
                </w:rPr>
              </w:pPr>
            </w:p>
          </w:tc>
          <w:tc>
            <w:tcPr>
              <w:tcW w:w="170" w:type="pct"/>
              <w:tcBorders>
                <w:left w:val="triple" w:sz="4" w:space="0" w:color="5B9BD5" w:themeColor="accent1"/>
              </w:tcBorders>
            </w:tcPr>
            <w:p w14:paraId="5095B1CA" w14:textId="7B5A306A" w:rsidR="00C55F73" w:rsidRDefault="00C55F73">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5B3A85">
                <w:rPr>
                  <w:noProof/>
                </w:rPr>
                <w:t>5</w:t>
              </w:r>
              <w:r>
                <w:rPr>
                  <w:noProof/>
                </w:rPr>
                <w:fldChar w:fldCharType="end"/>
              </w:r>
            </w:p>
          </w:tc>
        </w:tr>
      </w:sdtContent>
    </w:sdt>
  </w:tbl>
  <w:p w14:paraId="3A8B617D" w14:textId="77777777" w:rsidR="00C55F73" w:rsidRDefault="00C55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0D089" w14:textId="77777777" w:rsidR="008A0244" w:rsidRDefault="008A0244" w:rsidP="00C55F73">
      <w:pPr>
        <w:spacing w:after="0" w:line="240" w:lineRule="auto"/>
      </w:pPr>
      <w:r>
        <w:separator/>
      </w:r>
    </w:p>
  </w:footnote>
  <w:footnote w:type="continuationSeparator" w:id="0">
    <w:p w14:paraId="31BC71C4" w14:textId="77777777" w:rsidR="008A0244" w:rsidRDefault="008A0244" w:rsidP="00C55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E19D"/>
    <w:multiLevelType w:val="multilevel"/>
    <w:tmpl w:val="30849188"/>
    <w:lvl w:ilvl="0">
      <w:start w:val="1"/>
      <w:numFmt w:val="decimal"/>
      <w:lvlText w:val="%1."/>
      <w:lvlJc w:val="left"/>
      <w:pPr>
        <w:tabs>
          <w:tab w:val="num" w:pos="360"/>
        </w:tabs>
      </w:pPr>
      <w:rPr>
        <w:rFonts w:ascii="Trebuchet MS" w:hAnsi="Trebuchet MS" w:cs="Times New Roman" w:hint="default"/>
        <w:b/>
        <w:bCs/>
        <w:sz w:val="22"/>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094645AA"/>
    <w:multiLevelType w:val="multilevel"/>
    <w:tmpl w:val="111B2D88"/>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09BE06A0"/>
    <w:multiLevelType w:val="multilevel"/>
    <w:tmpl w:val="40986B7A"/>
    <w:lvl w:ilvl="0">
      <w:start w:val="8"/>
      <w:numFmt w:val="decimal"/>
      <w:lvlText w:val="%1."/>
      <w:lvlJc w:val="left"/>
      <w:pPr>
        <w:tabs>
          <w:tab w:val="num" w:pos="1065"/>
        </w:tabs>
        <w:ind w:left="1065" w:hanging="360"/>
      </w:pPr>
      <w:rPr>
        <w:rFonts w:ascii="Trebuchet MS" w:hAnsi="Trebuchet MS" w:cs="Times New Roman" w:hint="default"/>
        <w:b/>
        <w:bCs/>
        <w:sz w:val="22"/>
        <w:szCs w:val="22"/>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 w15:restartNumberingAfterBreak="0">
    <w:nsid w:val="0B403624"/>
    <w:multiLevelType w:val="hybridMultilevel"/>
    <w:tmpl w:val="9668C2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699FA3"/>
    <w:multiLevelType w:val="multilevel"/>
    <w:tmpl w:val="364CA1ED"/>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5" w15:restartNumberingAfterBreak="0">
    <w:nsid w:val="10652E55"/>
    <w:multiLevelType w:val="hybridMultilevel"/>
    <w:tmpl w:val="3CF4D6F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6" w15:restartNumberingAfterBreak="0">
    <w:nsid w:val="1169EE52"/>
    <w:multiLevelType w:val="multilevel"/>
    <w:tmpl w:val="0387A7A9"/>
    <w:lvl w:ilvl="0">
      <w:numFmt w:val="bullet"/>
      <w:lvlText w:val="·"/>
      <w:lvlJc w:val="left"/>
      <w:pPr>
        <w:tabs>
          <w:tab w:val="num" w:pos="360"/>
        </w:tabs>
      </w:pPr>
      <w:rPr>
        <w:rFonts w:ascii="Symbol" w:hAnsi="Symbol" w:cs="Symbol"/>
        <w:sz w:val="22"/>
        <w:szCs w:val="22"/>
      </w:rPr>
    </w:lvl>
    <w:lvl w:ilvl="1">
      <w:numFmt w:val="bullet"/>
      <w:lvlText w:val="o"/>
      <w:lvlJc w:val="left"/>
      <w:pPr>
        <w:tabs>
          <w:tab w:val="num" w:pos="1170"/>
        </w:tabs>
        <w:ind w:left="1170" w:hanging="360"/>
      </w:pPr>
      <w:rPr>
        <w:rFonts w:ascii="Courier New" w:hAnsi="Courier New" w:cs="Courier New"/>
        <w:sz w:val="24"/>
        <w:szCs w:val="24"/>
      </w:rPr>
    </w:lvl>
    <w:lvl w:ilvl="2">
      <w:numFmt w:val="bullet"/>
      <w:lvlText w:val="§"/>
      <w:lvlJc w:val="left"/>
      <w:pPr>
        <w:tabs>
          <w:tab w:val="num" w:pos="1890"/>
        </w:tabs>
        <w:ind w:left="1890" w:hanging="360"/>
      </w:pPr>
      <w:rPr>
        <w:rFonts w:ascii="Wingdings" w:hAnsi="Wingdings" w:cs="Wingdings"/>
        <w:sz w:val="24"/>
        <w:szCs w:val="24"/>
      </w:rPr>
    </w:lvl>
    <w:lvl w:ilvl="3">
      <w:numFmt w:val="bullet"/>
      <w:lvlText w:val="·"/>
      <w:lvlJc w:val="left"/>
      <w:pPr>
        <w:tabs>
          <w:tab w:val="num" w:pos="2610"/>
        </w:tabs>
        <w:ind w:left="2610" w:hanging="360"/>
      </w:pPr>
      <w:rPr>
        <w:rFonts w:ascii="Symbol" w:hAnsi="Symbol" w:cs="Symbol"/>
        <w:sz w:val="24"/>
        <w:szCs w:val="24"/>
      </w:rPr>
    </w:lvl>
    <w:lvl w:ilvl="4">
      <w:numFmt w:val="bullet"/>
      <w:lvlText w:val="o"/>
      <w:lvlJc w:val="left"/>
      <w:pPr>
        <w:tabs>
          <w:tab w:val="num" w:pos="3330"/>
        </w:tabs>
        <w:ind w:left="3330" w:hanging="360"/>
      </w:pPr>
      <w:rPr>
        <w:rFonts w:ascii="Courier New" w:hAnsi="Courier New" w:cs="Courier New"/>
        <w:sz w:val="24"/>
        <w:szCs w:val="24"/>
      </w:rPr>
    </w:lvl>
    <w:lvl w:ilvl="5">
      <w:numFmt w:val="bullet"/>
      <w:lvlText w:val="§"/>
      <w:lvlJc w:val="left"/>
      <w:pPr>
        <w:tabs>
          <w:tab w:val="num" w:pos="4050"/>
        </w:tabs>
        <w:ind w:left="4050" w:hanging="360"/>
      </w:pPr>
      <w:rPr>
        <w:rFonts w:ascii="Wingdings" w:hAnsi="Wingdings" w:cs="Wingdings"/>
        <w:sz w:val="24"/>
        <w:szCs w:val="24"/>
      </w:rPr>
    </w:lvl>
    <w:lvl w:ilvl="6">
      <w:numFmt w:val="bullet"/>
      <w:lvlText w:val="·"/>
      <w:lvlJc w:val="left"/>
      <w:pPr>
        <w:tabs>
          <w:tab w:val="num" w:pos="4770"/>
        </w:tabs>
        <w:ind w:left="4770" w:hanging="360"/>
      </w:pPr>
      <w:rPr>
        <w:rFonts w:ascii="Symbol" w:hAnsi="Symbol" w:cs="Symbol"/>
        <w:sz w:val="24"/>
        <w:szCs w:val="24"/>
      </w:rPr>
    </w:lvl>
    <w:lvl w:ilvl="7">
      <w:numFmt w:val="bullet"/>
      <w:lvlText w:val="o"/>
      <w:lvlJc w:val="left"/>
      <w:pPr>
        <w:tabs>
          <w:tab w:val="num" w:pos="5490"/>
        </w:tabs>
        <w:ind w:left="5490" w:hanging="360"/>
      </w:pPr>
      <w:rPr>
        <w:rFonts w:ascii="Courier New" w:hAnsi="Courier New" w:cs="Courier New"/>
        <w:sz w:val="24"/>
        <w:szCs w:val="24"/>
      </w:rPr>
    </w:lvl>
    <w:lvl w:ilvl="8">
      <w:numFmt w:val="bullet"/>
      <w:lvlText w:val="§"/>
      <w:lvlJc w:val="left"/>
      <w:pPr>
        <w:tabs>
          <w:tab w:val="num" w:pos="6210"/>
        </w:tabs>
        <w:ind w:left="6210" w:hanging="360"/>
      </w:pPr>
      <w:rPr>
        <w:rFonts w:ascii="Wingdings" w:hAnsi="Wingdings" w:cs="Wingdings"/>
        <w:sz w:val="24"/>
        <w:szCs w:val="24"/>
      </w:rPr>
    </w:lvl>
  </w:abstractNum>
  <w:abstractNum w:abstractNumId="7" w15:restartNumberingAfterBreak="0">
    <w:nsid w:val="14FC6664"/>
    <w:multiLevelType w:val="multilevel"/>
    <w:tmpl w:val="4E2B9E13"/>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8" w15:restartNumberingAfterBreak="0">
    <w:nsid w:val="17DF4226"/>
    <w:multiLevelType w:val="multilevel"/>
    <w:tmpl w:val="F0A8E90A"/>
    <w:lvl w:ilvl="0">
      <w:start w:val="1"/>
      <w:numFmt w:val="decimal"/>
      <w:lvlText w:val="%1."/>
      <w:lvlJc w:val="left"/>
      <w:pPr>
        <w:tabs>
          <w:tab w:val="num" w:pos="1080"/>
        </w:tabs>
        <w:ind w:firstLine="720"/>
      </w:pPr>
      <w:rPr>
        <w:rFonts w:ascii="Trebuchet MS" w:hAnsi="Trebuchet MS" w:cs="Times New Roman" w:hint="default"/>
        <w:b/>
        <w:bCs/>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9" w15:restartNumberingAfterBreak="0">
    <w:nsid w:val="1B274DA1"/>
    <w:multiLevelType w:val="hybridMultilevel"/>
    <w:tmpl w:val="CF7412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25EC11"/>
    <w:multiLevelType w:val="multilevel"/>
    <w:tmpl w:val="7C88319C"/>
    <w:lvl w:ilvl="0">
      <w:numFmt w:val="bullet"/>
      <w:lvlText w:val="§"/>
      <w:lvlJc w:val="left"/>
      <w:pPr>
        <w:tabs>
          <w:tab w:val="num" w:pos="1080"/>
        </w:tabs>
        <w:ind w:left="1080" w:hanging="360"/>
      </w:pPr>
      <w:rPr>
        <w:rFonts w:ascii="Wingdings" w:hAnsi="Wingdings" w:cs="Wingdings"/>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1" w15:restartNumberingAfterBreak="0">
    <w:nsid w:val="205075D3"/>
    <w:multiLevelType w:val="multilevel"/>
    <w:tmpl w:val="64DDD1F6"/>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15:restartNumberingAfterBreak="0">
    <w:nsid w:val="22C432C8"/>
    <w:multiLevelType w:val="multilevel"/>
    <w:tmpl w:val="E5BAB4AC"/>
    <w:lvl w:ilvl="0">
      <w:start w:val="1"/>
      <w:numFmt w:val="decimal"/>
      <w:lvlText w:val="%1."/>
      <w:lvlJc w:val="left"/>
      <w:pPr>
        <w:tabs>
          <w:tab w:val="num" w:pos="360"/>
        </w:tabs>
      </w:pPr>
      <w:rPr>
        <w:rFonts w:ascii="Cambria" w:hAnsi="Cambria" w:cs="Times New Roman" w:hint="default"/>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27B92ABF"/>
    <w:multiLevelType w:val="multilevel"/>
    <w:tmpl w:val="CE50495A"/>
    <w:lvl w:ilvl="0">
      <w:start w:val="1"/>
      <w:numFmt w:val="bullet"/>
      <w:lvlText w:val=""/>
      <w:lvlJc w:val="left"/>
      <w:pPr>
        <w:tabs>
          <w:tab w:val="num" w:pos="360"/>
        </w:tabs>
      </w:pPr>
      <w:rPr>
        <w:rFonts w:ascii="Symbol" w:hAnsi="Symbol" w:hint="default"/>
        <w:sz w:val="22"/>
        <w:szCs w:val="22"/>
      </w:rPr>
    </w:lvl>
    <w:lvl w:ilvl="1">
      <w:numFmt w:val="bullet"/>
      <w:lvlText w:val="o"/>
      <w:lvlJc w:val="left"/>
      <w:pPr>
        <w:tabs>
          <w:tab w:val="num" w:pos="5310"/>
        </w:tabs>
        <w:ind w:left="5310" w:hanging="360"/>
      </w:pPr>
      <w:rPr>
        <w:rFonts w:ascii="Courier New" w:hAnsi="Courier New" w:cs="Courier New"/>
        <w:sz w:val="24"/>
        <w:szCs w:val="24"/>
      </w:rPr>
    </w:lvl>
    <w:lvl w:ilvl="2">
      <w:numFmt w:val="bullet"/>
      <w:lvlText w:val="§"/>
      <w:lvlJc w:val="left"/>
      <w:pPr>
        <w:tabs>
          <w:tab w:val="num" w:pos="6030"/>
        </w:tabs>
        <w:ind w:left="6030" w:hanging="360"/>
      </w:pPr>
      <w:rPr>
        <w:rFonts w:ascii="Wingdings" w:hAnsi="Wingdings" w:cs="Wingdings"/>
        <w:sz w:val="24"/>
        <w:szCs w:val="24"/>
      </w:rPr>
    </w:lvl>
    <w:lvl w:ilvl="3">
      <w:numFmt w:val="bullet"/>
      <w:lvlText w:val="·"/>
      <w:lvlJc w:val="left"/>
      <w:pPr>
        <w:tabs>
          <w:tab w:val="num" w:pos="6750"/>
        </w:tabs>
        <w:ind w:left="6750" w:hanging="360"/>
      </w:pPr>
      <w:rPr>
        <w:rFonts w:ascii="Symbol" w:hAnsi="Symbol" w:cs="Symbol"/>
        <w:sz w:val="24"/>
        <w:szCs w:val="24"/>
      </w:rPr>
    </w:lvl>
    <w:lvl w:ilvl="4">
      <w:numFmt w:val="bullet"/>
      <w:lvlText w:val="o"/>
      <w:lvlJc w:val="left"/>
      <w:pPr>
        <w:tabs>
          <w:tab w:val="num" w:pos="7470"/>
        </w:tabs>
        <w:ind w:left="7470" w:hanging="360"/>
      </w:pPr>
      <w:rPr>
        <w:rFonts w:ascii="Courier New" w:hAnsi="Courier New" w:cs="Courier New"/>
        <w:sz w:val="24"/>
        <w:szCs w:val="24"/>
      </w:rPr>
    </w:lvl>
    <w:lvl w:ilvl="5">
      <w:numFmt w:val="bullet"/>
      <w:lvlText w:val="§"/>
      <w:lvlJc w:val="left"/>
      <w:pPr>
        <w:tabs>
          <w:tab w:val="num" w:pos="8190"/>
        </w:tabs>
        <w:ind w:left="8190" w:hanging="360"/>
      </w:pPr>
      <w:rPr>
        <w:rFonts w:ascii="Wingdings" w:hAnsi="Wingdings" w:cs="Wingdings"/>
        <w:sz w:val="24"/>
        <w:szCs w:val="24"/>
      </w:rPr>
    </w:lvl>
    <w:lvl w:ilvl="6">
      <w:numFmt w:val="bullet"/>
      <w:lvlText w:val="·"/>
      <w:lvlJc w:val="left"/>
      <w:pPr>
        <w:tabs>
          <w:tab w:val="num" w:pos="8910"/>
        </w:tabs>
        <w:ind w:left="8910" w:hanging="360"/>
      </w:pPr>
      <w:rPr>
        <w:rFonts w:ascii="Symbol" w:hAnsi="Symbol" w:cs="Symbol"/>
        <w:sz w:val="24"/>
        <w:szCs w:val="24"/>
      </w:rPr>
    </w:lvl>
    <w:lvl w:ilvl="7">
      <w:numFmt w:val="bullet"/>
      <w:lvlText w:val="o"/>
      <w:lvlJc w:val="left"/>
      <w:pPr>
        <w:tabs>
          <w:tab w:val="num" w:pos="9630"/>
        </w:tabs>
        <w:ind w:left="9630" w:hanging="360"/>
      </w:pPr>
      <w:rPr>
        <w:rFonts w:ascii="Courier New" w:hAnsi="Courier New" w:cs="Courier New"/>
        <w:sz w:val="24"/>
        <w:szCs w:val="24"/>
      </w:rPr>
    </w:lvl>
    <w:lvl w:ilvl="8">
      <w:numFmt w:val="bullet"/>
      <w:lvlText w:val="§"/>
      <w:lvlJc w:val="left"/>
      <w:pPr>
        <w:tabs>
          <w:tab w:val="num" w:pos="10350"/>
        </w:tabs>
        <w:ind w:left="10350" w:hanging="360"/>
      </w:pPr>
      <w:rPr>
        <w:rFonts w:ascii="Wingdings" w:hAnsi="Wingdings" w:cs="Wingdings"/>
        <w:sz w:val="24"/>
        <w:szCs w:val="24"/>
      </w:rPr>
    </w:lvl>
  </w:abstractNum>
  <w:abstractNum w:abstractNumId="14" w15:restartNumberingAfterBreak="0">
    <w:nsid w:val="2FEE7BAF"/>
    <w:multiLevelType w:val="multilevel"/>
    <w:tmpl w:val="6524E322"/>
    <w:lvl w:ilvl="0">
      <w:start w:val="2"/>
      <w:numFmt w:val="decimal"/>
      <w:lvlText w:val="%1."/>
      <w:lvlJc w:val="left"/>
      <w:pPr>
        <w:tabs>
          <w:tab w:val="num" w:pos="1065"/>
        </w:tabs>
        <w:ind w:left="1065" w:hanging="360"/>
      </w:pPr>
      <w:rPr>
        <w:rFonts w:ascii="Times New Roman" w:hAnsi="Times New Roman" w:cs="Times New Roman"/>
        <w:b/>
        <w:bCs/>
        <w:sz w:val="22"/>
        <w:szCs w:val="22"/>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5" w15:restartNumberingAfterBreak="0">
    <w:nsid w:val="32ED2DA9"/>
    <w:multiLevelType w:val="multilevel"/>
    <w:tmpl w:val="460B7854"/>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6" w15:restartNumberingAfterBreak="0">
    <w:nsid w:val="37889C39"/>
    <w:multiLevelType w:val="multilevel"/>
    <w:tmpl w:val="1229560B"/>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7" w15:restartNumberingAfterBreak="0">
    <w:nsid w:val="38E3B1BE"/>
    <w:multiLevelType w:val="multilevel"/>
    <w:tmpl w:val="629C0525"/>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15:restartNumberingAfterBreak="0">
    <w:nsid w:val="38FA7906"/>
    <w:multiLevelType w:val="multilevel"/>
    <w:tmpl w:val="5B80AE33"/>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9" w15:restartNumberingAfterBreak="0">
    <w:nsid w:val="3A633B07"/>
    <w:multiLevelType w:val="multilevel"/>
    <w:tmpl w:val="065BDC9A"/>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0" w15:restartNumberingAfterBreak="0">
    <w:nsid w:val="3CBDDF1F"/>
    <w:multiLevelType w:val="multilevel"/>
    <w:tmpl w:val="600903D2"/>
    <w:lvl w:ilvl="0">
      <w:start w:val="7"/>
      <w:numFmt w:val="decimal"/>
      <w:lvlText w:val="%1."/>
      <w:lvlJc w:val="left"/>
      <w:pPr>
        <w:tabs>
          <w:tab w:val="num" w:pos="270"/>
        </w:tabs>
        <w:ind w:left="270" w:hanging="270"/>
      </w:pPr>
      <w:rPr>
        <w:rFonts w:ascii="Times New Roman" w:hAnsi="Times New Roman" w:cs="Times New Roman"/>
        <w:b/>
        <w:bCs/>
        <w:sz w:val="22"/>
        <w:szCs w:val="22"/>
      </w:rPr>
    </w:lvl>
    <w:lvl w:ilvl="1">
      <w:start w:val="2"/>
      <w:numFmt w:val="decimal"/>
      <w:isLgl/>
      <w:lvlText w:val="%1.%2."/>
      <w:lvlJc w:val="left"/>
      <w:pPr>
        <w:tabs>
          <w:tab w:val="num" w:pos="1080"/>
        </w:tabs>
        <w:ind w:left="1080" w:hanging="720"/>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21" w15:restartNumberingAfterBreak="0">
    <w:nsid w:val="3D2B4F1A"/>
    <w:multiLevelType w:val="hybridMultilevel"/>
    <w:tmpl w:val="DA742BAE"/>
    <w:lvl w:ilvl="0" w:tplc="150CBF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76FEBA"/>
    <w:multiLevelType w:val="multilevel"/>
    <w:tmpl w:val="0929B3BE"/>
    <w:lvl w:ilvl="0">
      <w:numFmt w:val="bullet"/>
      <w:lvlText w:val="§"/>
      <w:lvlJc w:val="left"/>
      <w:pPr>
        <w:tabs>
          <w:tab w:val="num" w:pos="1080"/>
        </w:tabs>
        <w:ind w:left="1080" w:hanging="360"/>
      </w:pPr>
      <w:rPr>
        <w:rFonts w:ascii="Wingdings" w:hAnsi="Wingdings" w:cs="Wingdings"/>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23" w15:restartNumberingAfterBreak="0">
    <w:nsid w:val="55F26657"/>
    <w:multiLevelType w:val="multilevel"/>
    <w:tmpl w:val="55F26657"/>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D9CB5E7"/>
    <w:multiLevelType w:val="multilevel"/>
    <w:tmpl w:val="2BCE1661"/>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5" w15:restartNumberingAfterBreak="0">
    <w:nsid w:val="5E400EBE"/>
    <w:multiLevelType w:val="hybridMultilevel"/>
    <w:tmpl w:val="A1689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97012C"/>
    <w:multiLevelType w:val="hybridMultilevel"/>
    <w:tmpl w:val="22E2A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BA4FA9"/>
    <w:multiLevelType w:val="multilevel"/>
    <w:tmpl w:val="68EF5B21"/>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8" w15:restartNumberingAfterBreak="0">
    <w:nsid w:val="68763957"/>
    <w:multiLevelType w:val="hybridMultilevel"/>
    <w:tmpl w:val="0986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D37FB"/>
    <w:multiLevelType w:val="hybridMultilevel"/>
    <w:tmpl w:val="89F63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828BB7"/>
    <w:multiLevelType w:val="multilevel"/>
    <w:tmpl w:val="0C02A257"/>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1" w15:restartNumberingAfterBreak="0">
    <w:nsid w:val="6E2FB38F"/>
    <w:multiLevelType w:val="multilevel"/>
    <w:tmpl w:val="03794A4F"/>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2" w15:restartNumberingAfterBreak="0">
    <w:nsid w:val="7223057C"/>
    <w:multiLevelType w:val="hybridMultilevel"/>
    <w:tmpl w:val="7223057C"/>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33" w15:restartNumberingAfterBreak="0">
    <w:nsid w:val="72230589"/>
    <w:multiLevelType w:val="hybridMultilevel"/>
    <w:tmpl w:val="72230589"/>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34" w15:restartNumberingAfterBreak="0">
    <w:nsid w:val="72230595"/>
    <w:multiLevelType w:val="hybridMultilevel"/>
    <w:tmpl w:val="72230595"/>
    <w:lvl w:ilvl="0" w:tplc="FFFFFFFF">
      <w:start w:val="1"/>
      <w:numFmt w:val="bullet"/>
      <w:lvlText w:val=""/>
      <w:lvlJc w:val="left"/>
      <w:pPr>
        <w:ind w:left="360" w:hanging="360"/>
      </w:pPr>
      <w:rPr>
        <w:rFonts w:ascii="Symbol" w:hAnsi="Symbol"/>
      </w:rPr>
    </w:lvl>
    <w:lvl w:ilvl="1" w:tplc="FFFFFFFF">
      <w:start w:val="1"/>
      <w:numFmt w:val="bullet"/>
      <w:lvlText w:val="o"/>
      <w:lvlJc w:val="left"/>
      <w:pPr>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35" w15:restartNumberingAfterBreak="0">
    <w:nsid w:val="73A693AC"/>
    <w:multiLevelType w:val="multilevel"/>
    <w:tmpl w:val="3808F522"/>
    <w:lvl w:ilvl="0">
      <w:numFmt w:val="bullet"/>
      <w:lvlText w:val="·"/>
      <w:lvlJc w:val="left"/>
      <w:pPr>
        <w:tabs>
          <w:tab w:val="num" w:pos="360"/>
        </w:tabs>
      </w:pPr>
      <w:rPr>
        <w:rFonts w:ascii="Symbol" w:hAnsi="Symbol" w:cs="Symbol"/>
        <w:sz w:val="22"/>
        <w:szCs w:val="22"/>
      </w:rPr>
    </w:lvl>
    <w:lvl w:ilvl="1">
      <w:numFmt w:val="bullet"/>
      <w:lvlText w:val="o"/>
      <w:lvlJc w:val="left"/>
      <w:pPr>
        <w:tabs>
          <w:tab w:val="num" w:pos="5310"/>
        </w:tabs>
        <w:ind w:left="5310" w:hanging="360"/>
      </w:pPr>
      <w:rPr>
        <w:rFonts w:ascii="Courier New" w:hAnsi="Courier New" w:cs="Courier New"/>
        <w:sz w:val="24"/>
        <w:szCs w:val="24"/>
      </w:rPr>
    </w:lvl>
    <w:lvl w:ilvl="2">
      <w:numFmt w:val="bullet"/>
      <w:lvlText w:val="§"/>
      <w:lvlJc w:val="left"/>
      <w:pPr>
        <w:tabs>
          <w:tab w:val="num" w:pos="6030"/>
        </w:tabs>
        <w:ind w:left="6030" w:hanging="360"/>
      </w:pPr>
      <w:rPr>
        <w:rFonts w:ascii="Wingdings" w:hAnsi="Wingdings" w:cs="Wingdings"/>
        <w:sz w:val="24"/>
        <w:szCs w:val="24"/>
      </w:rPr>
    </w:lvl>
    <w:lvl w:ilvl="3">
      <w:numFmt w:val="bullet"/>
      <w:lvlText w:val="·"/>
      <w:lvlJc w:val="left"/>
      <w:pPr>
        <w:tabs>
          <w:tab w:val="num" w:pos="6750"/>
        </w:tabs>
        <w:ind w:left="6750" w:hanging="360"/>
      </w:pPr>
      <w:rPr>
        <w:rFonts w:ascii="Symbol" w:hAnsi="Symbol" w:cs="Symbol"/>
        <w:sz w:val="24"/>
        <w:szCs w:val="24"/>
      </w:rPr>
    </w:lvl>
    <w:lvl w:ilvl="4">
      <w:numFmt w:val="bullet"/>
      <w:lvlText w:val="o"/>
      <w:lvlJc w:val="left"/>
      <w:pPr>
        <w:tabs>
          <w:tab w:val="num" w:pos="7470"/>
        </w:tabs>
        <w:ind w:left="7470" w:hanging="360"/>
      </w:pPr>
      <w:rPr>
        <w:rFonts w:ascii="Courier New" w:hAnsi="Courier New" w:cs="Courier New"/>
        <w:sz w:val="24"/>
        <w:szCs w:val="24"/>
      </w:rPr>
    </w:lvl>
    <w:lvl w:ilvl="5">
      <w:numFmt w:val="bullet"/>
      <w:lvlText w:val="§"/>
      <w:lvlJc w:val="left"/>
      <w:pPr>
        <w:tabs>
          <w:tab w:val="num" w:pos="8190"/>
        </w:tabs>
        <w:ind w:left="8190" w:hanging="360"/>
      </w:pPr>
      <w:rPr>
        <w:rFonts w:ascii="Wingdings" w:hAnsi="Wingdings" w:cs="Wingdings"/>
        <w:sz w:val="24"/>
        <w:szCs w:val="24"/>
      </w:rPr>
    </w:lvl>
    <w:lvl w:ilvl="6">
      <w:numFmt w:val="bullet"/>
      <w:lvlText w:val="·"/>
      <w:lvlJc w:val="left"/>
      <w:pPr>
        <w:tabs>
          <w:tab w:val="num" w:pos="8910"/>
        </w:tabs>
        <w:ind w:left="8910" w:hanging="360"/>
      </w:pPr>
      <w:rPr>
        <w:rFonts w:ascii="Symbol" w:hAnsi="Symbol" w:cs="Symbol"/>
        <w:sz w:val="24"/>
        <w:szCs w:val="24"/>
      </w:rPr>
    </w:lvl>
    <w:lvl w:ilvl="7">
      <w:numFmt w:val="bullet"/>
      <w:lvlText w:val="o"/>
      <w:lvlJc w:val="left"/>
      <w:pPr>
        <w:tabs>
          <w:tab w:val="num" w:pos="9630"/>
        </w:tabs>
        <w:ind w:left="9630" w:hanging="360"/>
      </w:pPr>
      <w:rPr>
        <w:rFonts w:ascii="Courier New" w:hAnsi="Courier New" w:cs="Courier New"/>
        <w:sz w:val="24"/>
        <w:szCs w:val="24"/>
      </w:rPr>
    </w:lvl>
    <w:lvl w:ilvl="8">
      <w:numFmt w:val="bullet"/>
      <w:lvlText w:val="§"/>
      <w:lvlJc w:val="left"/>
      <w:pPr>
        <w:tabs>
          <w:tab w:val="num" w:pos="10350"/>
        </w:tabs>
        <w:ind w:left="10350" w:hanging="360"/>
      </w:pPr>
      <w:rPr>
        <w:rFonts w:ascii="Wingdings" w:hAnsi="Wingdings" w:cs="Wingdings"/>
        <w:sz w:val="24"/>
        <w:szCs w:val="24"/>
      </w:rPr>
    </w:lvl>
  </w:abstractNum>
  <w:abstractNum w:abstractNumId="36" w15:restartNumberingAfterBreak="0">
    <w:nsid w:val="758F377E"/>
    <w:multiLevelType w:val="hybridMultilevel"/>
    <w:tmpl w:val="5A84E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1C5BF7"/>
    <w:multiLevelType w:val="multilevel"/>
    <w:tmpl w:val="7D1C5BF7"/>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F3AC7B5"/>
    <w:multiLevelType w:val="multilevel"/>
    <w:tmpl w:val="6FA38856"/>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23"/>
  </w:num>
  <w:num w:numId="2">
    <w:abstractNumId w:val="37"/>
  </w:num>
  <w:num w:numId="3">
    <w:abstractNumId w:val="29"/>
  </w:num>
  <w:num w:numId="4">
    <w:abstractNumId w:val="21"/>
  </w:num>
  <w:num w:numId="5">
    <w:abstractNumId w:val="25"/>
  </w:num>
  <w:num w:numId="6">
    <w:abstractNumId w:val="26"/>
  </w:num>
  <w:num w:numId="7">
    <w:abstractNumId w:val="34"/>
  </w:num>
  <w:num w:numId="8">
    <w:abstractNumId w:val="32"/>
  </w:num>
  <w:num w:numId="9">
    <w:abstractNumId w:val="33"/>
  </w:num>
  <w:num w:numId="10">
    <w:abstractNumId w:val="3"/>
  </w:num>
  <w:num w:numId="11">
    <w:abstractNumId w:val="9"/>
  </w:num>
  <w:num w:numId="12">
    <w:abstractNumId w:val="36"/>
  </w:num>
  <w:num w:numId="13">
    <w:abstractNumId w:val="28"/>
  </w:num>
  <w:num w:numId="14">
    <w:abstractNumId w:val="5"/>
  </w:num>
  <w:num w:numId="15">
    <w:abstractNumId w:val="22"/>
  </w:num>
  <w:num w:numId="16">
    <w:abstractNumId w:val="6"/>
  </w:num>
  <w:num w:numId="17">
    <w:abstractNumId w:val="10"/>
  </w:num>
  <w:num w:numId="18">
    <w:abstractNumId w:val="30"/>
  </w:num>
  <w:num w:numId="19">
    <w:abstractNumId w:val="19"/>
  </w:num>
  <w:num w:numId="20">
    <w:abstractNumId w:val="17"/>
  </w:num>
  <w:num w:numId="21">
    <w:abstractNumId w:val="0"/>
  </w:num>
  <w:num w:numId="22">
    <w:abstractNumId w:val="7"/>
  </w:num>
  <w:num w:numId="23">
    <w:abstractNumId w:val="11"/>
  </w:num>
  <w:num w:numId="24">
    <w:abstractNumId w:val="27"/>
  </w:num>
  <w:num w:numId="25">
    <w:abstractNumId w:val="15"/>
  </w:num>
  <w:num w:numId="26">
    <w:abstractNumId w:val="31"/>
  </w:num>
  <w:num w:numId="27">
    <w:abstractNumId w:val="20"/>
  </w:num>
  <w:num w:numId="28">
    <w:abstractNumId w:val="2"/>
  </w:num>
  <w:num w:numId="29">
    <w:abstractNumId w:val="14"/>
  </w:num>
  <w:num w:numId="30">
    <w:abstractNumId w:val="8"/>
  </w:num>
  <w:num w:numId="31">
    <w:abstractNumId w:val="16"/>
  </w:num>
  <w:num w:numId="32">
    <w:abstractNumId w:val="35"/>
  </w:num>
  <w:num w:numId="33">
    <w:abstractNumId w:val="24"/>
  </w:num>
  <w:num w:numId="34">
    <w:abstractNumId w:val="1"/>
  </w:num>
  <w:num w:numId="35">
    <w:abstractNumId w:val="38"/>
  </w:num>
  <w:num w:numId="36">
    <w:abstractNumId w:val="12"/>
  </w:num>
  <w:num w:numId="37">
    <w:abstractNumId w:val="4"/>
  </w:num>
  <w:num w:numId="38">
    <w:abstractNumId w:val="1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16"/>
  </w:num>
  <w:num w:numId="42">
    <w:abstractNumId w:val="18"/>
  </w:num>
  <w:num w:numId="43">
    <w:abstractNumId w:val="38"/>
  </w:num>
  <w:num w:numId="44">
    <w:abstractNumId w:val="35"/>
  </w:num>
  <w:num w:numId="45">
    <w:abstractNumId w:val="1"/>
  </w:num>
  <w:num w:numId="46">
    <w:abstractNumId w:val="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56858"/>
    <w:rsid w:val="0009154D"/>
    <w:rsid w:val="000B212D"/>
    <w:rsid w:val="000C319D"/>
    <w:rsid w:val="000E5CE0"/>
    <w:rsid w:val="000F1403"/>
    <w:rsid w:val="00131C4F"/>
    <w:rsid w:val="00134640"/>
    <w:rsid w:val="0014373A"/>
    <w:rsid w:val="00156858"/>
    <w:rsid w:val="00217417"/>
    <w:rsid w:val="00231A95"/>
    <w:rsid w:val="002461C2"/>
    <w:rsid w:val="00293DD3"/>
    <w:rsid w:val="002A3A15"/>
    <w:rsid w:val="002C2B9C"/>
    <w:rsid w:val="00390580"/>
    <w:rsid w:val="00491B30"/>
    <w:rsid w:val="004A47BB"/>
    <w:rsid w:val="004B5070"/>
    <w:rsid w:val="004D0A55"/>
    <w:rsid w:val="004F1A95"/>
    <w:rsid w:val="00513268"/>
    <w:rsid w:val="00527ED7"/>
    <w:rsid w:val="005A7C33"/>
    <w:rsid w:val="005B3A85"/>
    <w:rsid w:val="005F79E8"/>
    <w:rsid w:val="00603AB5"/>
    <w:rsid w:val="0064634C"/>
    <w:rsid w:val="006516BB"/>
    <w:rsid w:val="006E25AA"/>
    <w:rsid w:val="00771A55"/>
    <w:rsid w:val="00780335"/>
    <w:rsid w:val="007A0C5F"/>
    <w:rsid w:val="007E02F4"/>
    <w:rsid w:val="00807166"/>
    <w:rsid w:val="00841D16"/>
    <w:rsid w:val="0084240F"/>
    <w:rsid w:val="008756A5"/>
    <w:rsid w:val="00884F5A"/>
    <w:rsid w:val="008869B8"/>
    <w:rsid w:val="008A0244"/>
    <w:rsid w:val="008C075F"/>
    <w:rsid w:val="008D3BA0"/>
    <w:rsid w:val="009200C0"/>
    <w:rsid w:val="00947C0D"/>
    <w:rsid w:val="009854FF"/>
    <w:rsid w:val="009C6EAA"/>
    <w:rsid w:val="009D1DAB"/>
    <w:rsid w:val="00A720DF"/>
    <w:rsid w:val="00A732C7"/>
    <w:rsid w:val="00A96973"/>
    <w:rsid w:val="00AB6B38"/>
    <w:rsid w:val="00AD2E0D"/>
    <w:rsid w:val="00AE05EC"/>
    <w:rsid w:val="00AF1E40"/>
    <w:rsid w:val="00BB3648"/>
    <w:rsid w:val="00BB4971"/>
    <w:rsid w:val="00C46B4F"/>
    <w:rsid w:val="00C55F73"/>
    <w:rsid w:val="00CB0112"/>
    <w:rsid w:val="00CD3080"/>
    <w:rsid w:val="00CD4A47"/>
    <w:rsid w:val="00D15824"/>
    <w:rsid w:val="00D46578"/>
    <w:rsid w:val="00DC64F2"/>
    <w:rsid w:val="00DE3C53"/>
    <w:rsid w:val="00E23CEF"/>
    <w:rsid w:val="00EC767A"/>
    <w:rsid w:val="00EE2C44"/>
    <w:rsid w:val="00F30952"/>
    <w:rsid w:val="00F43D1F"/>
    <w:rsid w:val="00F55318"/>
    <w:rsid w:val="00FB01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4436"/>
  <w15:docId w15:val="{0FC1D4B7-63AE-4F39-99DF-FCE6715C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26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648"/>
    <w:rPr>
      <w:rFonts w:ascii="Segoe UI" w:hAnsi="Segoe UI" w:cs="Segoe UI"/>
      <w:sz w:val="18"/>
      <w:szCs w:val="18"/>
    </w:rPr>
  </w:style>
  <w:style w:type="paragraph" w:styleId="Header">
    <w:name w:val="header"/>
    <w:basedOn w:val="Normal"/>
    <w:link w:val="HeaderChar"/>
    <w:uiPriority w:val="99"/>
    <w:unhideWhenUsed/>
    <w:rsid w:val="00C55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F73"/>
  </w:style>
  <w:style w:type="paragraph" w:styleId="Footer">
    <w:name w:val="footer"/>
    <w:basedOn w:val="Normal"/>
    <w:link w:val="FooterChar"/>
    <w:uiPriority w:val="99"/>
    <w:unhideWhenUsed/>
    <w:rsid w:val="00C55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050443">
      <w:bodyDiv w:val="1"/>
      <w:marLeft w:val="0"/>
      <w:marRight w:val="0"/>
      <w:marTop w:val="0"/>
      <w:marBottom w:val="0"/>
      <w:divBdr>
        <w:top w:val="none" w:sz="0" w:space="0" w:color="auto"/>
        <w:left w:val="none" w:sz="0" w:space="0" w:color="auto"/>
        <w:bottom w:val="none" w:sz="0" w:space="0" w:color="auto"/>
        <w:right w:val="none" w:sz="0" w:space="0" w:color="auto"/>
      </w:divBdr>
    </w:div>
    <w:div w:id="918173015">
      <w:bodyDiv w:val="1"/>
      <w:marLeft w:val="0"/>
      <w:marRight w:val="0"/>
      <w:marTop w:val="0"/>
      <w:marBottom w:val="0"/>
      <w:divBdr>
        <w:top w:val="none" w:sz="0" w:space="0" w:color="auto"/>
        <w:left w:val="none" w:sz="0" w:space="0" w:color="auto"/>
        <w:bottom w:val="none" w:sz="0" w:space="0" w:color="auto"/>
        <w:right w:val="none" w:sz="0" w:space="0" w:color="auto"/>
      </w:divBdr>
    </w:div>
    <w:div w:id="1108239995">
      <w:bodyDiv w:val="1"/>
      <w:marLeft w:val="0"/>
      <w:marRight w:val="0"/>
      <w:marTop w:val="0"/>
      <w:marBottom w:val="0"/>
      <w:divBdr>
        <w:top w:val="none" w:sz="0" w:space="0" w:color="auto"/>
        <w:left w:val="none" w:sz="0" w:space="0" w:color="auto"/>
        <w:bottom w:val="none" w:sz="0" w:space="0" w:color="auto"/>
        <w:right w:val="none" w:sz="0" w:space="0" w:color="auto"/>
      </w:divBdr>
    </w:div>
    <w:div w:id="1257980381">
      <w:bodyDiv w:val="1"/>
      <w:marLeft w:val="0"/>
      <w:marRight w:val="0"/>
      <w:marTop w:val="0"/>
      <w:marBottom w:val="0"/>
      <w:divBdr>
        <w:top w:val="none" w:sz="0" w:space="0" w:color="auto"/>
        <w:left w:val="none" w:sz="0" w:space="0" w:color="auto"/>
        <w:bottom w:val="none" w:sz="0" w:space="0" w:color="auto"/>
        <w:right w:val="none" w:sz="0" w:space="0" w:color="auto"/>
      </w:divBdr>
    </w:div>
    <w:div w:id="1496916423">
      <w:bodyDiv w:val="1"/>
      <w:marLeft w:val="0"/>
      <w:marRight w:val="0"/>
      <w:marTop w:val="0"/>
      <w:marBottom w:val="0"/>
      <w:divBdr>
        <w:top w:val="none" w:sz="0" w:space="0" w:color="auto"/>
        <w:left w:val="none" w:sz="0" w:space="0" w:color="auto"/>
        <w:bottom w:val="none" w:sz="0" w:space="0" w:color="auto"/>
        <w:right w:val="none" w:sz="0" w:space="0" w:color="auto"/>
      </w:divBdr>
    </w:div>
    <w:div w:id="17607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CORINA</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Yasemin</cp:lastModifiedBy>
  <cp:revision>7</cp:revision>
  <cp:lastPrinted>2016-04-08T09:00:00Z</cp:lastPrinted>
  <dcterms:created xsi:type="dcterms:W3CDTF">2022-10-03T08:43:00Z</dcterms:created>
  <dcterms:modified xsi:type="dcterms:W3CDTF">2022-10-19T17:13:00Z</dcterms:modified>
</cp:coreProperties>
</file>